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51F0" w14:textId="66BF8C90" w:rsidR="00D33A34" w:rsidRPr="00D33A34" w:rsidRDefault="00D33A34" w:rsidP="00CD56D4">
      <w:pPr>
        <w:spacing w:after="0"/>
        <w:jc w:val="center"/>
        <w:rPr>
          <w:rFonts w:ascii="Times New Roman" w:hAnsi="Times New Roman" w:cs="Times New Roman"/>
          <w:b/>
          <w:bCs/>
          <w:sz w:val="28"/>
          <w:szCs w:val="28"/>
          <w:lang w:val="ro-RO"/>
        </w:rPr>
      </w:pPr>
      <w:r w:rsidRPr="00D33A34">
        <w:rPr>
          <w:rFonts w:ascii="Times New Roman" w:hAnsi="Times New Roman" w:cs="Times New Roman"/>
          <w:b/>
          <w:bCs/>
          <w:sz w:val="28"/>
          <w:szCs w:val="28"/>
          <w:lang w:val="ro-RO"/>
        </w:rPr>
        <w:t xml:space="preserve">Proiect regional de dezvoltare a infrastructurii de apă şi apă uzată în judeţul Ilfov, etapa a </w:t>
      </w:r>
      <w:r w:rsidRPr="003414F6">
        <w:rPr>
          <w:rFonts w:ascii="Times New Roman" w:hAnsi="Times New Roman" w:cs="Times New Roman"/>
          <w:b/>
          <w:bCs/>
          <w:sz w:val="28"/>
          <w:szCs w:val="28"/>
          <w:lang w:val="ro-RO"/>
        </w:rPr>
        <w:t>II</w:t>
      </w:r>
      <w:r w:rsidRPr="00D33A34">
        <w:rPr>
          <w:rFonts w:ascii="Times New Roman" w:hAnsi="Times New Roman" w:cs="Times New Roman"/>
          <w:b/>
          <w:bCs/>
          <w:sz w:val="28"/>
          <w:szCs w:val="28"/>
          <w:lang w:val="ro-RO"/>
        </w:rPr>
        <w:t>-a</w:t>
      </w:r>
    </w:p>
    <w:p w14:paraId="4B9D9446" w14:textId="0EE9328B" w:rsidR="00FB1413" w:rsidRDefault="00D33A34" w:rsidP="00CD56D4">
      <w:pPr>
        <w:spacing w:after="0"/>
        <w:jc w:val="center"/>
        <w:rPr>
          <w:rFonts w:ascii="Times New Roman" w:hAnsi="Times New Roman" w:cs="Times New Roman"/>
          <w:b/>
          <w:bCs/>
          <w:sz w:val="28"/>
          <w:szCs w:val="28"/>
          <w:lang w:val="ro-RO"/>
        </w:rPr>
      </w:pPr>
      <w:r w:rsidRPr="00D33A34">
        <w:rPr>
          <w:rFonts w:ascii="Times New Roman" w:hAnsi="Times New Roman" w:cs="Times New Roman"/>
          <w:b/>
          <w:bCs/>
          <w:sz w:val="28"/>
          <w:szCs w:val="28"/>
          <w:lang w:val="ro-RO"/>
        </w:rPr>
        <w:t>COD SMIS 318805</w:t>
      </w:r>
    </w:p>
    <w:p w14:paraId="5992257B" w14:textId="77777777" w:rsidR="00CD56D4" w:rsidRPr="00E77FF4" w:rsidRDefault="00CD56D4" w:rsidP="00CD56D4">
      <w:pPr>
        <w:spacing w:after="0"/>
        <w:jc w:val="center"/>
        <w:rPr>
          <w:rFonts w:ascii="Times New Roman" w:hAnsi="Times New Roman" w:cs="Times New Roman"/>
          <w:b/>
          <w:bCs/>
          <w:sz w:val="28"/>
          <w:szCs w:val="28"/>
          <w:lang w:val="ro-RO"/>
        </w:rPr>
      </w:pPr>
    </w:p>
    <w:p w14:paraId="1B34BA5D" w14:textId="77777777" w:rsidR="006812F6" w:rsidRPr="00D33A34" w:rsidRDefault="006812F6" w:rsidP="00CF6D0E">
      <w:pPr>
        <w:widowControl w:val="0"/>
        <w:spacing w:after="0" w:line="312" w:lineRule="auto"/>
        <w:jc w:val="both"/>
        <w:rPr>
          <w:rFonts w:ascii="Times New Roman" w:hAnsi="Times New Roman" w:cs="Times New Roman"/>
          <w:lang w:val="ro-RO"/>
        </w:rPr>
      </w:pPr>
      <w:r w:rsidRPr="00D33A34">
        <w:rPr>
          <w:rFonts w:ascii="Times New Roman" w:hAnsi="Times New Roman" w:cs="Times New Roman"/>
          <w:b/>
          <w:bCs/>
          <w:lang w:val="ro-RO"/>
        </w:rPr>
        <w:t>Proiectul major de investiții derulat de ACI se desfășoară în două etape:</w:t>
      </w:r>
    </w:p>
    <w:p w14:paraId="50DE47D8" w14:textId="77777777" w:rsidR="006812F6" w:rsidRPr="00D33A34" w:rsidRDefault="006812F6" w:rsidP="00CF6D0E">
      <w:pPr>
        <w:widowControl w:val="0"/>
        <w:numPr>
          <w:ilvl w:val="0"/>
          <w:numId w:val="1"/>
        </w:numPr>
        <w:spacing w:after="0" w:line="312" w:lineRule="auto"/>
        <w:jc w:val="both"/>
        <w:rPr>
          <w:rFonts w:ascii="Times New Roman" w:hAnsi="Times New Roman" w:cs="Times New Roman"/>
          <w:lang w:val="ro-RO"/>
        </w:rPr>
      </w:pPr>
      <w:r w:rsidRPr="00D33A34">
        <w:rPr>
          <w:rFonts w:ascii="Times New Roman" w:hAnsi="Times New Roman" w:cs="Times New Roman"/>
          <w:b/>
          <w:bCs/>
          <w:lang w:val="ro-RO"/>
        </w:rPr>
        <w:t>ETAPA I - 2014-2020, Cod proiect: 125325</w:t>
      </w:r>
    </w:p>
    <w:p w14:paraId="7A76FCF0" w14:textId="3A32469F" w:rsidR="006812F6" w:rsidRPr="00D33A34" w:rsidRDefault="006812F6" w:rsidP="00CF6D0E">
      <w:pPr>
        <w:widowControl w:val="0"/>
        <w:spacing w:after="0" w:line="312" w:lineRule="auto"/>
        <w:jc w:val="both"/>
        <w:rPr>
          <w:rFonts w:ascii="Times New Roman" w:hAnsi="Times New Roman" w:cs="Times New Roman"/>
          <w:lang w:val="ro-RO"/>
        </w:rPr>
      </w:pPr>
      <w:r w:rsidRPr="00D33A34">
        <w:rPr>
          <w:rFonts w:ascii="Times New Roman" w:hAnsi="Times New Roman" w:cs="Times New Roman"/>
          <w:lang w:val="ro-RO"/>
        </w:rPr>
        <w:t>Proiect cofinanțat de Uniunea Europeană din Fondul de Coeziune prin Programul Operațional Infrastructură Mare 2014-202</w:t>
      </w:r>
      <w:r w:rsidRPr="00CF6D0E">
        <w:rPr>
          <w:rFonts w:ascii="Times New Roman" w:hAnsi="Times New Roman" w:cs="Times New Roman"/>
          <w:lang w:val="ro-RO"/>
        </w:rPr>
        <w:t>0</w:t>
      </w:r>
      <w:r w:rsidR="00CF6D0E">
        <w:rPr>
          <w:rFonts w:ascii="Times New Roman" w:hAnsi="Times New Roman" w:cs="Times New Roman"/>
          <w:lang w:val="ro-RO"/>
        </w:rPr>
        <w:t>, încheiat la 31.12.2023.</w:t>
      </w:r>
    </w:p>
    <w:p w14:paraId="41D26A5D" w14:textId="77777777" w:rsidR="006812F6" w:rsidRPr="00D33A34" w:rsidRDefault="006812F6" w:rsidP="00CF6D0E">
      <w:pPr>
        <w:widowControl w:val="0"/>
        <w:numPr>
          <w:ilvl w:val="0"/>
          <w:numId w:val="1"/>
        </w:numPr>
        <w:spacing w:after="0" w:line="312" w:lineRule="auto"/>
        <w:jc w:val="both"/>
        <w:rPr>
          <w:rFonts w:ascii="Times New Roman" w:hAnsi="Times New Roman" w:cs="Times New Roman"/>
          <w:lang w:val="ro-RO"/>
        </w:rPr>
      </w:pPr>
      <w:r w:rsidRPr="00D33A34">
        <w:rPr>
          <w:rFonts w:ascii="Times New Roman" w:hAnsi="Times New Roman" w:cs="Times New Roman"/>
          <w:b/>
          <w:bCs/>
          <w:lang w:val="ro-RO"/>
        </w:rPr>
        <w:t>ETAPA II - 2021 – 2027, Cod proiect: 318805</w:t>
      </w:r>
    </w:p>
    <w:p w14:paraId="6D34BC9D" w14:textId="5B3B947A" w:rsidR="006812F6" w:rsidRPr="00CF6D0E" w:rsidRDefault="006812F6" w:rsidP="00CF6D0E">
      <w:pPr>
        <w:widowControl w:val="0"/>
        <w:spacing w:after="0" w:line="312" w:lineRule="auto"/>
        <w:jc w:val="both"/>
        <w:rPr>
          <w:rFonts w:ascii="Times New Roman" w:hAnsi="Times New Roman" w:cs="Times New Roman"/>
          <w:lang w:val="ro-RO"/>
        </w:rPr>
      </w:pPr>
      <w:r w:rsidRPr="00D33A34">
        <w:rPr>
          <w:rFonts w:ascii="Times New Roman" w:hAnsi="Times New Roman" w:cs="Times New Roman"/>
          <w:lang w:val="ro-RO"/>
        </w:rPr>
        <w:t>Proiect cofinanțat de Uniunea Europeană din Fondul de Coeziune prin Programul Dezvoltare Durabilă 2021-2027</w:t>
      </w:r>
      <w:r w:rsidR="00443E36" w:rsidRPr="00CF6D0E">
        <w:rPr>
          <w:rFonts w:ascii="Times New Roman" w:hAnsi="Times New Roman" w:cs="Times New Roman"/>
          <w:lang w:val="ro-RO"/>
        </w:rPr>
        <w:t>.</w:t>
      </w:r>
      <w:r w:rsidR="003E4727">
        <w:rPr>
          <w:rFonts w:ascii="Times New Roman" w:hAnsi="Times New Roman" w:cs="Times New Roman"/>
          <w:lang w:val="ro-RO"/>
        </w:rPr>
        <w:t>, demarat la 06.06.2024.</w:t>
      </w:r>
    </w:p>
    <w:p w14:paraId="7AF11CC2" w14:textId="77777777" w:rsidR="00E77FF4" w:rsidRPr="00CF6D0E" w:rsidRDefault="00E77FF4" w:rsidP="00CF6D0E">
      <w:pPr>
        <w:widowControl w:val="0"/>
        <w:spacing w:after="0" w:line="312" w:lineRule="auto"/>
        <w:jc w:val="both"/>
        <w:rPr>
          <w:rFonts w:ascii="Times New Roman" w:hAnsi="Times New Roman" w:cs="Times New Roman"/>
          <w:lang w:val="ro-RO"/>
        </w:rPr>
      </w:pPr>
    </w:p>
    <w:p w14:paraId="6C018E2E" w14:textId="12B87D50" w:rsidR="000C4FA3" w:rsidRPr="00CF6D0E" w:rsidRDefault="000C4FA3" w:rsidP="00CF6D0E">
      <w:pPr>
        <w:spacing w:after="0" w:line="312" w:lineRule="auto"/>
        <w:jc w:val="both"/>
        <w:rPr>
          <w:rFonts w:ascii="Times New Roman" w:hAnsi="Times New Roman" w:cs="Times New Roman"/>
          <w:lang w:val="ro-RO"/>
        </w:rPr>
      </w:pPr>
      <w:r w:rsidRPr="00D33A34">
        <w:rPr>
          <w:rFonts w:ascii="Times New Roman" w:hAnsi="Times New Roman" w:cs="Times New Roman"/>
          <w:b/>
          <w:bCs/>
          <w:lang w:val="ro-RO"/>
        </w:rPr>
        <w:t xml:space="preserve">Programul Dezvoltare Durabilă (PDD) 2021 </w:t>
      </w:r>
      <w:r w:rsidRPr="00CF6D0E">
        <w:rPr>
          <w:rFonts w:ascii="Times New Roman" w:hAnsi="Times New Roman" w:cs="Times New Roman"/>
          <w:b/>
          <w:bCs/>
          <w:lang w:val="ro-RO"/>
        </w:rPr>
        <w:t>–</w:t>
      </w:r>
      <w:r w:rsidRPr="00D33A34">
        <w:rPr>
          <w:rFonts w:ascii="Times New Roman" w:hAnsi="Times New Roman" w:cs="Times New Roman"/>
          <w:b/>
          <w:bCs/>
          <w:lang w:val="ro-RO"/>
        </w:rPr>
        <w:t xml:space="preserve"> 2027</w:t>
      </w:r>
    </w:p>
    <w:p w14:paraId="05F6F815" w14:textId="238A0BEE" w:rsidR="003414F6" w:rsidRPr="00CF6D0E" w:rsidRDefault="00666060" w:rsidP="00CF6D0E">
      <w:pPr>
        <w:spacing w:after="0" w:line="312" w:lineRule="auto"/>
        <w:jc w:val="both"/>
        <w:rPr>
          <w:rFonts w:ascii="Times New Roman" w:hAnsi="Times New Roman" w:cs="Times New Roman"/>
          <w:b/>
          <w:bCs/>
          <w:lang w:val="ro-RO"/>
        </w:rPr>
      </w:pPr>
      <w:r w:rsidRPr="00CF6D0E">
        <w:rPr>
          <w:rFonts w:ascii="Times New Roman" w:hAnsi="Times New Roman" w:cs="Times New Roman"/>
          <w:b/>
          <w:bCs/>
          <w:lang w:val="ro-RO"/>
        </w:rPr>
        <w:t>Obiective proiect</w:t>
      </w:r>
    </w:p>
    <w:p w14:paraId="114FD67D" w14:textId="59863D9F" w:rsidR="000C4FA3" w:rsidRPr="00CF6D0E" w:rsidRDefault="000C4FA3" w:rsidP="00CF6D0E">
      <w:pPr>
        <w:spacing w:after="0" w:line="312" w:lineRule="auto"/>
        <w:jc w:val="both"/>
        <w:rPr>
          <w:rFonts w:ascii="Times New Roman" w:hAnsi="Times New Roman" w:cs="Times New Roman"/>
          <w:lang w:val="ro-RO"/>
        </w:rPr>
      </w:pPr>
      <w:r w:rsidRPr="00CF6D0E">
        <w:rPr>
          <w:rFonts w:ascii="Times New Roman" w:hAnsi="Times New Roman" w:cs="Times New Roman"/>
          <w:lang w:val="ro-RO"/>
        </w:rPr>
        <w:t>Obiectivul general al proiectu</w:t>
      </w:r>
      <w:r w:rsidRPr="00CF6D0E">
        <w:rPr>
          <w:rFonts w:ascii="Times New Roman" w:hAnsi="Times New Roman" w:cs="Times New Roman"/>
          <w:lang w:val="ro-RO"/>
        </w:rPr>
        <w:t>l</w:t>
      </w:r>
      <w:r w:rsidRPr="00CF6D0E">
        <w:rPr>
          <w:rFonts w:ascii="Times New Roman" w:hAnsi="Times New Roman" w:cs="Times New Roman"/>
          <w:lang w:val="ro-RO"/>
        </w:rPr>
        <w:t>ui il reprezinta dezvoltarea durabila a sistemelor de alimentare cu apa si canalizare din judetul Ilfov prin imbunatatirea calitatii serviciilor</w:t>
      </w:r>
      <w:r w:rsidRPr="00CF6D0E">
        <w:rPr>
          <w:rFonts w:ascii="Times New Roman" w:hAnsi="Times New Roman" w:cs="Times New Roman"/>
          <w:lang w:val="ro-RO"/>
        </w:rPr>
        <w:t xml:space="preserve"> </w:t>
      </w:r>
      <w:r w:rsidRPr="00CF6D0E">
        <w:rPr>
          <w:rFonts w:ascii="Times New Roman" w:hAnsi="Times New Roman" w:cs="Times New Roman"/>
          <w:lang w:val="ro-RO"/>
        </w:rPr>
        <w:t>existente si reducerea impactului negativ al descarcarilor de apa uzata conform politicilor si practicilor Uniunii Europene si in contextul Axelor Prioritare ale POS Mediu si POIM.</w:t>
      </w:r>
    </w:p>
    <w:p w14:paraId="75078ED2" w14:textId="17BBE663" w:rsidR="000C4FA3" w:rsidRDefault="000C4FA3" w:rsidP="00CF6D0E">
      <w:pPr>
        <w:widowControl w:val="0"/>
        <w:spacing w:after="0" w:line="312" w:lineRule="auto"/>
        <w:jc w:val="both"/>
        <w:rPr>
          <w:rFonts w:ascii="Times New Roman" w:hAnsi="Times New Roman" w:cs="Times New Roman"/>
          <w:lang w:val="ro-RO"/>
        </w:rPr>
      </w:pPr>
      <w:r w:rsidRPr="00CF6D0E">
        <w:rPr>
          <w:rFonts w:ascii="Times New Roman" w:hAnsi="Times New Roman" w:cs="Times New Roman"/>
          <w:lang w:val="ro-RO"/>
        </w:rPr>
        <w:t>Toate obiectivele specifice ale proiectului aprobate prin POIM sunt in concorodanta cu obiectivul specific PDD (Promovarea accesului la apa si a gestionarii durabile a apelor).</w:t>
      </w:r>
    </w:p>
    <w:p w14:paraId="01B2C5BE" w14:textId="77777777" w:rsidR="003E4727" w:rsidRPr="00CF6D0E" w:rsidRDefault="003E4727" w:rsidP="00CF6D0E">
      <w:pPr>
        <w:widowControl w:val="0"/>
        <w:spacing w:after="0" w:line="312" w:lineRule="auto"/>
        <w:jc w:val="both"/>
        <w:rPr>
          <w:rFonts w:ascii="Times New Roman" w:hAnsi="Times New Roman" w:cs="Times New Roman"/>
          <w:lang w:val="ro-RO"/>
        </w:rPr>
      </w:pPr>
    </w:p>
    <w:p w14:paraId="43D1542A" w14:textId="68EA59C9" w:rsidR="000C4FA3" w:rsidRPr="00CF6D0E" w:rsidRDefault="000C4FA3" w:rsidP="00CF6D0E">
      <w:pPr>
        <w:spacing w:after="0" w:line="312" w:lineRule="auto"/>
        <w:jc w:val="both"/>
        <w:rPr>
          <w:rFonts w:ascii="Times New Roman" w:hAnsi="Times New Roman" w:cs="Times New Roman"/>
          <w:b/>
          <w:bCs/>
          <w:lang w:val="ro-RO"/>
        </w:rPr>
      </w:pPr>
      <w:r w:rsidRPr="00CF6D0E">
        <w:rPr>
          <w:rFonts w:ascii="Times New Roman" w:hAnsi="Times New Roman" w:cs="Times New Roman"/>
          <w:b/>
          <w:bCs/>
          <w:lang w:val="ro-RO"/>
        </w:rPr>
        <w:t>Obiectivele speciﬁce ale proiectului</w:t>
      </w:r>
    </w:p>
    <w:p w14:paraId="7BF2E74C" w14:textId="6C9D2FE6" w:rsidR="000C4FA3" w:rsidRPr="00CF6D0E" w:rsidRDefault="000C4FA3" w:rsidP="00CF6D0E">
      <w:pPr>
        <w:pStyle w:val="ListParagraph"/>
        <w:numPr>
          <w:ilvl w:val="0"/>
          <w:numId w:val="6"/>
        </w:numPr>
        <w:spacing w:after="0" w:line="312" w:lineRule="auto"/>
        <w:jc w:val="both"/>
        <w:rPr>
          <w:rFonts w:ascii="Times New Roman" w:hAnsi="Times New Roman" w:cs="Times New Roman"/>
          <w:lang w:val="ro-RO"/>
        </w:rPr>
      </w:pPr>
      <w:r w:rsidRPr="00CF6D0E">
        <w:rPr>
          <w:rFonts w:ascii="Times New Roman" w:hAnsi="Times New Roman" w:cs="Times New Roman"/>
          <w:lang w:val="ro-RO"/>
        </w:rPr>
        <w:t>Cresterea gradului de acoperire a serviciilor de alimentare cu apa si canalizare in zona proiectului</w:t>
      </w:r>
      <w:r w:rsidR="00443E36" w:rsidRPr="00CF6D0E">
        <w:rPr>
          <w:rFonts w:ascii="Times New Roman" w:hAnsi="Times New Roman" w:cs="Times New Roman"/>
          <w:lang w:val="ro-RO"/>
        </w:rPr>
        <w:t>.</w:t>
      </w:r>
    </w:p>
    <w:p w14:paraId="12AE5FDC" w14:textId="697FD99F" w:rsidR="000C4FA3" w:rsidRPr="00CF6D0E" w:rsidRDefault="000C4FA3" w:rsidP="00CF6D0E">
      <w:pPr>
        <w:pStyle w:val="ListParagraph"/>
        <w:numPr>
          <w:ilvl w:val="0"/>
          <w:numId w:val="6"/>
        </w:numPr>
        <w:spacing w:after="0" w:line="312" w:lineRule="auto"/>
        <w:jc w:val="both"/>
        <w:rPr>
          <w:rFonts w:ascii="Times New Roman" w:hAnsi="Times New Roman" w:cs="Times New Roman"/>
          <w:lang w:val="ro-RO"/>
        </w:rPr>
      </w:pPr>
      <w:r w:rsidRPr="00CF6D0E">
        <w:rPr>
          <w:rFonts w:ascii="Times New Roman" w:hAnsi="Times New Roman" w:cs="Times New Roman"/>
          <w:lang w:val="ro-RO"/>
        </w:rPr>
        <w:t>Imbunatatirea calitatii apei potabile in vederea conformarii cu standardele Directivei UE pentru apa potabila 98/83/CE in zona proiectului</w:t>
      </w:r>
      <w:r w:rsidR="00443E36" w:rsidRPr="00CF6D0E">
        <w:rPr>
          <w:rFonts w:ascii="Times New Roman" w:hAnsi="Times New Roman" w:cs="Times New Roman"/>
          <w:lang w:val="ro-RO"/>
        </w:rPr>
        <w:t>.</w:t>
      </w:r>
    </w:p>
    <w:p w14:paraId="0AE16811" w14:textId="77777777" w:rsidR="000C4FA3" w:rsidRPr="00CF6D0E" w:rsidRDefault="000C4FA3" w:rsidP="00CF6D0E">
      <w:pPr>
        <w:pStyle w:val="ListParagraph"/>
        <w:numPr>
          <w:ilvl w:val="0"/>
          <w:numId w:val="6"/>
        </w:numPr>
        <w:spacing w:after="0" w:line="312" w:lineRule="auto"/>
        <w:jc w:val="both"/>
        <w:rPr>
          <w:rFonts w:ascii="Times New Roman" w:hAnsi="Times New Roman" w:cs="Times New Roman"/>
          <w:lang w:val="ro-RO"/>
        </w:rPr>
      </w:pPr>
      <w:r w:rsidRPr="00CF6D0E">
        <w:rPr>
          <w:rFonts w:ascii="Times New Roman" w:hAnsi="Times New Roman" w:cs="Times New Roman"/>
          <w:lang w:val="ro-RO"/>
        </w:rPr>
        <w:t xml:space="preserve">Cresterea gradului de acoperire a tratarii apei uzate in vederea conformarii cu standardele Directivei de Tratare a Apei Uzate 91/271/EEC </w:t>
      </w:r>
    </w:p>
    <w:p w14:paraId="6028B37C" w14:textId="214F84A1" w:rsidR="00EC33F5" w:rsidRPr="00CF6D0E" w:rsidRDefault="000C4FA3" w:rsidP="00CF6D0E">
      <w:pPr>
        <w:pStyle w:val="ListParagraph"/>
        <w:numPr>
          <w:ilvl w:val="0"/>
          <w:numId w:val="6"/>
        </w:numPr>
        <w:spacing w:after="0" w:line="312" w:lineRule="auto"/>
        <w:jc w:val="both"/>
        <w:rPr>
          <w:rFonts w:ascii="Times New Roman" w:hAnsi="Times New Roman" w:cs="Times New Roman"/>
          <w:lang w:val="ro-RO"/>
        </w:rPr>
      </w:pPr>
      <w:r w:rsidRPr="00CF6D0E">
        <w:rPr>
          <w:rFonts w:ascii="Times New Roman" w:hAnsi="Times New Roman" w:cs="Times New Roman"/>
          <w:lang w:val="ro-RO"/>
        </w:rPr>
        <w:t>Stabilirea unui operator eficient si a unor structuri asociate in zona proiectului.</w:t>
      </w:r>
    </w:p>
    <w:p w14:paraId="4B140EDF" w14:textId="77777777" w:rsidR="00E77FF4" w:rsidRPr="00CF6D0E" w:rsidRDefault="00E77FF4" w:rsidP="00CF6D0E">
      <w:pPr>
        <w:spacing w:after="0" w:line="312" w:lineRule="auto"/>
        <w:jc w:val="both"/>
        <w:rPr>
          <w:rFonts w:ascii="Times New Roman" w:hAnsi="Times New Roman" w:cs="Times New Roman"/>
          <w:lang w:val="ro-RO"/>
        </w:rPr>
      </w:pPr>
    </w:p>
    <w:p w14:paraId="7B298888" w14:textId="77777777" w:rsidR="00EC33F5" w:rsidRPr="00CF6D0E" w:rsidRDefault="00EC33F5" w:rsidP="00CF6D0E">
      <w:pPr>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1. Imbunatatirea calitatii apei potabile, in scopul conformarii cu directiva 98/83/EC, la amoniu, nitrati, turbiditate, aluminiu, ﬁer, plumb, cadmiu si pesticide, in localitati cu peste 50 locuitori, si asigurarea continuitatii serviciului in aria de operare a OR. Prin intermediul proiectului, urmatorul indicator prevazut in PDD va ﬁ atins pana in 2022 CO18 = 193.246 locuitori. Raportat la populatia de 235.169 locuitori din aria proiectului gradul de conectare la sistemul de alimentare cu apa inainte de proiect este de 57,1% - 134.283 locuitori (17,46% - 41.064 locuitori, conformi din punct de vedere al furnizarii continue la parametrii de calitate ai apei tratate).</w:t>
      </w:r>
    </w:p>
    <w:p w14:paraId="0367C950" w14:textId="00317ED5" w:rsidR="00EC33F5" w:rsidRPr="00CF6D0E" w:rsidRDefault="00EC33F5" w:rsidP="00CF6D0E">
      <w:pPr>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2S33 - Dupa investitiile din P</w:t>
      </w:r>
      <w:r w:rsidR="00B00D03" w:rsidRPr="00CF6D0E">
        <w:rPr>
          <w:rFonts w:ascii="Times New Roman" w:hAnsi="Times New Roman" w:cs="Times New Roman"/>
          <w:color w:val="000000" w:themeColor="text1"/>
          <w:lang w:val="ro-RO"/>
        </w:rPr>
        <w:t>DD</w:t>
      </w:r>
      <w:r w:rsidRPr="00CF6D0E">
        <w:rPr>
          <w:rFonts w:ascii="Times New Roman" w:hAnsi="Times New Roman" w:cs="Times New Roman"/>
          <w:color w:val="000000" w:themeColor="text1"/>
          <w:lang w:val="ro-RO"/>
        </w:rPr>
        <w:t>, gradul de conectare si conformare va creste la 99,63% - 234.310 locuitori, în 202</w:t>
      </w:r>
      <w:r w:rsidR="00B00D03" w:rsidRPr="00CF6D0E">
        <w:rPr>
          <w:rFonts w:ascii="Times New Roman" w:hAnsi="Times New Roman" w:cs="Times New Roman"/>
          <w:color w:val="000000" w:themeColor="text1"/>
          <w:lang w:val="ro-RO"/>
        </w:rPr>
        <w:t>7</w:t>
      </w:r>
      <w:r w:rsidRPr="00CF6D0E">
        <w:rPr>
          <w:rFonts w:ascii="Times New Roman" w:hAnsi="Times New Roman" w:cs="Times New Roman"/>
          <w:color w:val="000000" w:themeColor="text1"/>
          <w:lang w:val="ro-RO"/>
        </w:rPr>
        <w:t>, respectiv 193.246 locuitori vor ﬁ conforma</w:t>
      </w:r>
      <w:r w:rsidR="00912CB0" w:rsidRPr="00CF6D0E">
        <w:rPr>
          <w:rFonts w:ascii="Times New Roman" w:hAnsi="Times New Roman" w:cs="Times New Roman"/>
          <w:color w:val="000000" w:themeColor="text1"/>
          <w:lang w:val="ro-RO"/>
        </w:rPr>
        <w:t>ț</w:t>
      </w:r>
      <w:r w:rsidRPr="00CF6D0E">
        <w:rPr>
          <w:rFonts w:ascii="Times New Roman" w:hAnsi="Times New Roman" w:cs="Times New Roman"/>
          <w:color w:val="000000" w:themeColor="text1"/>
          <w:lang w:val="ro-RO"/>
        </w:rPr>
        <w:t xml:space="preserve">i la ﬁnalul proiectului. Nivelul de </w:t>
      </w:r>
      <w:r w:rsidRPr="00CF6D0E">
        <w:rPr>
          <w:rFonts w:ascii="Times New Roman" w:hAnsi="Times New Roman" w:cs="Times New Roman"/>
          <w:color w:val="000000" w:themeColor="text1"/>
          <w:lang w:val="ro-RO"/>
        </w:rPr>
        <w:lastRenderedPageBreak/>
        <w:t>conectare conforme a încarcarii biodegradabile (în l.e.) la sistemele de colectare în aglomerarile din aria proiectului este de 43,29% (113.166 l.e.).</w:t>
      </w:r>
    </w:p>
    <w:p w14:paraId="3FA2B7F0" w14:textId="77777777" w:rsidR="00EC33F5" w:rsidRPr="00CF6D0E" w:rsidRDefault="00EC33F5" w:rsidP="00CF6D0E">
      <w:pPr>
        <w:spacing w:after="0" w:line="312" w:lineRule="auto"/>
        <w:jc w:val="both"/>
        <w:rPr>
          <w:rFonts w:ascii="Times New Roman" w:hAnsi="Times New Roman" w:cs="Times New Roman"/>
          <w:color w:val="000000" w:themeColor="text1"/>
          <w:lang w:val="ro-RO"/>
        </w:rPr>
      </w:pPr>
    </w:p>
    <w:p w14:paraId="60773CAA" w14:textId="2DBF6B45" w:rsidR="00EC33F5" w:rsidRPr="00CF6D0E" w:rsidRDefault="00EC33F5" w:rsidP="00CF6D0E">
      <w:pPr>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 xml:space="preserve">2. Prin intermediul proiectului, urmatorul indicator prevazuti in </w:t>
      </w:r>
      <w:r w:rsidR="00B00D03" w:rsidRPr="00CF6D0E">
        <w:rPr>
          <w:rFonts w:ascii="Times New Roman" w:hAnsi="Times New Roman" w:cs="Times New Roman"/>
          <w:color w:val="000000" w:themeColor="text1"/>
          <w:lang w:val="ro-RO"/>
        </w:rPr>
        <w:t>PDD</w:t>
      </w:r>
      <w:r w:rsidRPr="00CF6D0E">
        <w:rPr>
          <w:rFonts w:ascii="Times New Roman" w:hAnsi="Times New Roman" w:cs="Times New Roman"/>
          <w:color w:val="000000" w:themeColor="text1"/>
          <w:lang w:val="ro-RO"/>
        </w:rPr>
        <w:t xml:space="preserve"> va ﬁ atins pana in 202</w:t>
      </w:r>
      <w:r w:rsidR="00CD56D4" w:rsidRPr="00CF6D0E">
        <w:rPr>
          <w:rFonts w:ascii="Times New Roman" w:hAnsi="Times New Roman" w:cs="Times New Roman"/>
          <w:color w:val="000000" w:themeColor="text1"/>
          <w:lang w:val="ro-RO"/>
        </w:rPr>
        <w:t>6</w:t>
      </w:r>
      <w:r w:rsidRPr="00CF6D0E">
        <w:rPr>
          <w:rFonts w:ascii="Times New Roman" w:hAnsi="Times New Roman" w:cs="Times New Roman"/>
          <w:color w:val="000000" w:themeColor="text1"/>
          <w:lang w:val="ro-RO"/>
        </w:rPr>
        <w:t>, CO</w:t>
      </w:r>
      <w:r w:rsidR="00B00D03" w:rsidRPr="00CF6D0E">
        <w:rPr>
          <w:rFonts w:ascii="Times New Roman" w:hAnsi="Times New Roman" w:cs="Times New Roman"/>
          <w:color w:val="000000" w:themeColor="text1"/>
          <w:lang w:val="ro-RO"/>
        </w:rPr>
        <w:t>32</w:t>
      </w:r>
      <w:r w:rsidRPr="00CF6D0E">
        <w:rPr>
          <w:rFonts w:ascii="Times New Roman" w:hAnsi="Times New Roman" w:cs="Times New Roman"/>
          <w:color w:val="000000" w:themeColor="text1"/>
          <w:lang w:val="ro-RO"/>
        </w:rPr>
        <w:t xml:space="preserve"> = </w:t>
      </w:r>
      <w:r w:rsidR="00B00D03" w:rsidRPr="00CF6D0E">
        <w:rPr>
          <w:rFonts w:ascii="Times New Roman" w:hAnsi="Times New Roman" w:cs="Times New Roman"/>
          <w:color w:val="000000" w:themeColor="text1"/>
          <w:lang w:val="ro-RO"/>
        </w:rPr>
        <w:t xml:space="preserve">145.601 </w:t>
      </w:r>
      <w:r w:rsidRPr="00CF6D0E">
        <w:rPr>
          <w:rFonts w:ascii="Times New Roman" w:hAnsi="Times New Roman" w:cs="Times New Roman"/>
          <w:color w:val="000000" w:themeColor="text1"/>
          <w:lang w:val="ro-RO"/>
        </w:rPr>
        <w:t>locuitori echivalenti. Nivelul de conectare conforma a incarcarii organice biodegradabile (în l.e.) la sisteme de colectare a l.e. in aglomerarile din aria de acoperire a proiectului este de 43,29% (113.166 l.e).</w:t>
      </w:r>
    </w:p>
    <w:p w14:paraId="595F34BA" w14:textId="1C6E3C1D" w:rsidR="00EC33F5" w:rsidRPr="00CF6D0E" w:rsidRDefault="00EC33F5" w:rsidP="00CF6D0E">
      <w:pPr>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 xml:space="preserve">2S31 - Gradul de conectare a incarcarii organice biodegradabile la sistemele de colectare in aglomerari cu peste 10000 l.e va creste de la 49,69% (98.863 l.e.) inainte de proiect, la 100%, dupa ﬁnalizarea proiectului, atingand </w:t>
      </w:r>
      <w:r w:rsidR="00B00D03" w:rsidRPr="00CF6D0E">
        <w:rPr>
          <w:rFonts w:ascii="Times New Roman" w:hAnsi="Times New Roman" w:cs="Times New Roman"/>
          <w:color w:val="000000" w:themeColor="text1"/>
          <w:lang w:val="ro-RO"/>
        </w:rPr>
        <w:t>193.246</w:t>
      </w:r>
      <w:r w:rsidR="00B00D03" w:rsidRPr="00CF6D0E">
        <w:rPr>
          <w:rFonts w:ascii="Times New Roman" w:hAnsi="Times New Roman" w:cs="Times New Roman"/>
          <w:color w:val="000000" w:themeColor="text1"/>
          <w:lang w:val="ro-RO"/>
        </w:rPr>
        <w:t xml:space="preserve"> </w:t>
      </w:r>
      <w:r w:rsidRPr="00CF6D0E">
        <w:rPr>
          <w:rFonts w:ascii="Times New Roman" w:hAnsi="Times New Roman" w:cs="Times New Roman"/>
          <w:color w:val="000000" w:themeColor="text1"/>
          <w:lang w:val="ro-RO"/>
        </w:rPr>
        <w:t>l.e</w:t>
      </w:r>
    </w:p>
    <w:p w14:paraId="34769DC9" w14:textId="77777777" w:rsidR="00EC33F5" w:rsidRPr="00CF6D0E" w:rsidRDefault="00EC33F5" w:rsidP="00CF6D0E">
      <w:pPr>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2S32 - Gradul de conectare a incarcarii organice biodegradabile la sistemele de colectare in aglomerari cu 2000 -10000 l.e va creste de la 22,90% inainte de proiect (14.303 l.e.), la 100% dupa ﬁnalizarea proiectului, atingand 62.457 l.e</w:t>
      </w:r>
    </w:p>
    <w:p w14:paraId="458FF62B" w14:textId="77777777" w:rsidR="00EC33F5" w:rsidRPr="00CF6D0E" w:rsidRDefault="00EC33F5" w:rsidP="00CF6D0E">
      <w:pPr>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2S29 - au fost prevazute investitii pentru realizare/extinderea a 5 SEAU conforme, care deservesc clustere/ aglomerari cu peste 10.000 l.e</w:t>
      </w:r>
    </w:p>
    <w:p w14:paraId="3EE3BAC5" w14:textId="77777777" w:rsidR="00EC33F5" w:rsidRPr="00CF6D0E" w:rsidRDefault="00EC33F5" w:rsidP="00CF6D0E">
      <w:pPr>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2S30 - au fost prevazute investitii pentru realizarea a 6 SEAU conforme, care deservesc aglomerari între 2000 - 10000 l.e.</w:t>
      </w:r>
    </w:p>
    <w:p w14:paraId="3E9FB290" w14:textId="0F920845" w:rsidR="00B50478" w:rsidRPr="00CF6D0E" w:rsidRDefault="00EC33F5" w:rsidP="00CF6D0E">
      <w:pPr>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Numarul locuitori/l.e. a caror apa uzata va ﬁ transportata si epurata dupa ﬁnalizarea proiectului, va ﬁ de 229.105 /261.405 l.e., respectiv un total de aprox. 1,</w:t>
      </w:r>
      <w:r w:rsidR="00C82A85" w:rsidRPr="00CF6D0E">
        <w:rPr>
          <w:rFonts w:ascii="Times New Roman" w:hAnsi="Times New Roman" w:cs="Times New Roman"/>
          <w:color w:val="000000" w:themeColor="text1"/>
          <w:lang w:val="ro-RO"/>
        </w:rPr>
        <w:t>37</w:t>
      </w:r>
      <w:r w:rsidRPr="00CF6D0E">
        <w:rPr>
          <w:rFonts w:ascii="Times New Roman" w:hAnsi="Times New Roman" w:cs="Times New Roman"/>
          <w:color w:val="000000" w:themeColor="text1"/>
          <w:lang w:val="ro-RO"/>
        </w:rPr>
        <w:t>% din totalul de l.e. de la nivelul Romaniei (</w:t>
      </w:r>
      <w:r w:rsidR="00C82A85" w:rsidRPr="00CF6D0E">
        <w:rPr>
          <w:rFonts w:ascii="Times New Roman" w:hAnsi="Times New Roman" w:cs="Times New Roman"/>
          <w:color w:val="000000" w:themeColor="text1"/>
          <w:lang w:val="ro-RO"/>
        </w:rPr>
        <w:t>19.064.409</w:t>
      </w:r>
      <w:r w:rsidRPr="00CF6D0E">
        <w:rPr>
          <w:rFonts w:ascii="Times New Roman" w:hAnsi="Times New Roman" w:cs="Times New Roman"/>
          <w:color w:val="000000" w:themeColor="text1"/>
          <w:lang w:val="ro-RO"/>
        </w:rPr>
        <w:t>l.e. ) si un total de aprox. 2,46 % din l.e. care mai necesita a ﬁ conectata la sisteme centralizate de apa uzata la nivelul României (10.630.137 l.e).</w:t>
      </w:r>
    </w:p>
    <w:p w14:paraId="09444545" w14:textId="77777777" w:rsidR="00EC33F5" w:rsidRPr="00CF6D0E" w:rsidRDefault="00EC33F5" w:rsidP="00CF6D0E">
      <w:pPr>
        <w:spacing w:after="0" w:line="312" w:lineRule="auto"/>
        <w:jc w:val="both"/>
        <w:rPr>
          <w:rFonts w:ascii="Times New Roman" w:hAnsi="Times New Roman" w:cs="Times New Roman"/>
          <w:color w:val="000000" w:themeColor="text1"/>
          <w:lang w:val="ro-RO"/>
        </w:rPr>
      </w:pPr>
    </w:p>
    <w:p w14:paraId="738C3E25" w14:textId="77777777" w:rsidR="00C82A85" w:rsidRPr="00CF6D0E" w:rsidRDefault="00EC33F5" w:rsidP="00CF6D0E">
      <w:pPr>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 xml:space="preserve">3. Se preconizeaza ca proiectul va contribui la dezvoltarea socio-economica prin: </w:t>
      </w:r>
    </w:p>
    <w:p w14:paraId="35B480B5" w14:textId="77777777" w:rsidR="00C82A85" w:rsidRPr="00CF6D0E" w:rsidRDefault="00EC33F5" w:rsidP="00CF6D0E">
      <w:pPr>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 xml:space="preserve">- crearea de locuri de munca (în perioada de implementare a contractelor de lucrari - 1500 locuri temporare; în perioada de operare - 72 locuri permanente); </w:t>
      </w:r>
    </w:p>
    <w:p w14:paraId="53DD7924" w14:textId="77777777" w:rsidR="00C82A85" w:rsidRPr="00CF6D0E" w:rsidRDefault="00EC33F5" w:rsidP="00CF6D0E">
      <w:pPr>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 xml:space="preserve">- stimularea investitiilor private si a turismului în zona rurala, cu crearea premiselor pentru dezvoltarea economica a zonei de proiect; </w:t>
      </w:r>
    </w:p>
    <w:p w14:paraId="4A2919EE" w14:textId="77777777" w:rsidR="00C82A85" w:rsidRPr="00CF6D0E" w:rsidRDefault="00EC33F5" w:rsidP="00CF6D0E">
      <w:pPr>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 xml:space="preserve">-reducerea riscului de poluare a solului si a apelor subterane si îmbunataþirea calitatii mediului; </w:t>
      </w:r>
    </w:p>
    <w:p w14:paraId="65DC49BB" w14:textId="77777777" w:rsidR="00C82A85" w:rsidRPr="00CF6D0E" w:rsidRDefault="00EC33F5" w:rsidP="00CF6D0E">
      <w:pPr>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 xml:space="preserve">- îmbunatatirea conditiilor de viata si reducerea riscului de îmbolnavire în mediul rural; </w:t>
      </w:r>
    </w:p>
    <w:p w14:paraId="1B2219BF" w14:textId="25D48AC4" w:rsidR="00EC33F5" w:rsidRPr="00CF6D0E" w:rsidRDefault="00EC33F5" w:rsidP="00CF6D0E">
      <w:pPr>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 îmbunatatirea functionala cu ajutorul sistemului SCADA centralizat si cresterea capacitatii de interventie în caz de avarii.</w:t>
      </w:r>
    </w:p>
    <w:p w14:paraId="2DF20B57" w14:textId="77AD17E3" w:rsidR="00B00D03" w:rsidRPr="00CF6D0E" w:rsidRDefault="00EC33F5" w:rsidP="00CF6D0E">
      <w:pPr>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Dezvoltarea durabila a zonei prin reducerea pierderilor din sistemele de alimentare cu apa, cu efect în conservarea pe termen lung a resurselor de apa; reducerea poluarii râurilor din zona proiectului prin epurarea corespunzatoare a apelor uzate.</w:t>
      </w:r>
    </w:p>
    <w:p w14:paraId="6DCECC5F" w14:textId="77777777" w:rsidR="00E77FF4" w:rsidRPr="00CF6D0E" w:rsidRDefault="00E77FF4" w:rsidP="00CF6D0E">
      <w:pPr>
        <w:widowControl w:val="0"/>
        <w:spacing w:after="0" w:line="312" w:lineRule="auto"/>
        <w:jc w:val="both"/>
        <w:rPr>
          <w:rFonts w:ascii="Times New Roman" w:hAnsi="Times New Roman" w:cs="Times New Roman"/>
          <w:lang w:val="ro-RO"/>
        </w:rPr>
      </w:pPr>
    </w:p>
    <w:p w14:paraId="06486ECF" w14:textId="77777777" w:rsidR="00E77FF4" w:rsidRPr="00D33A34" w:rsidRDefault="00E77FF4" w:rsidP="00CF6D0E">
      <w:pPr>
        <w:widowControl w:val="0"/>
        <w:spacing w:after="0" w:line="312" w:lineRule="auto"/>
        <w:jc w:val="both"/>
        <w:rPr>
          <w:rFonts w:ascii="Times New Roman" w:hAnsi="Times New Roman" w:cs="Times New Roman"/>
          <w:lang w:val="ro-RO"/>
        </w:rPr>
      </w:pPr>
      <w:r w:rsidRPr="00D33A34">
        <w:rPr>
          <w:rFonts w:ascii="Times New Roman" w:hAnsi="Times New Roman" w:cs="Times New Roman"/>
          <w:lang w:val="ro-RO"/>
        </w:rPr>
        <w:t>Beneficiarii acestui proiect major sunt locuitorii următoarelor comune și orașe ilfovene:</w:t>
      </w:r>
      <w:r w:rsidRPr="00D33A34">
        <w:rPr>
          <w:rFonts w:ascii="Times New Roman" w:hAnsi="Times New Roman" w:cs="Times New Roman"/>
          <w:b/>
          <w:bCs/>
          <w:lang w:val="ro-RO"/>
        </w:rPr>
        <w:t> Balotești, Bragadiru, Brănești, Cernica, Ciolpani, Ciorogârla, Clinceni, Cornetu, Domnești, Glina, Jilava, Grădiștea, Gruiu, Măgurele, Moara Vlăsiei, Mogoșoaia, Pantelimon, Periș, Petrăchioaia, Tunari.</w:t>
      </w:r>
    </w:p>
    <w:p w14:paraId="23CF9E6B" w14:textId="77777777" w:rsidR="00E77FF4" w:rsidRPr="00D33A34" w:rsidRDefault="00E77FF4" w:rsidP="00CF6D0E">
      <w:pPr>
        <w:widowControl w:val="0"/>
        <w:spacing w:after="0" w:line="312" w:lineRule="auto"/>
        <w:jc w:val="both"/>
        <w:rPr>
          <w:rFonts w:ascii="Times New Roman" w:hAnsi="Times New Roman" w:cs="Times New Roman"/>
          <w:lang w:val="ro-RO"/>
        </w:rPr>
      </w:pPr>
      <w:r w:rsidRPr="00D33A34">
        <w:rPr>
          <w:rFonts w:ascii="Times New Roman" w:hAnsi="Times New Roman" w:cs="Times New Roman"/>
          <w:lang w:val="ro-RO"/>
        </w:rPr>
        <w:t xml:space="preserve">Implementarea obiectivelor proiectului va avea un impact pozitiv semnificativ asupra comunităților </w:t>
      </w:r>
      <w:r w:rsidRPr="00D33A34">
        <w:rPr>
          <w:rFonts w:ascii="Times New Roman" w:hAnsi="Times New Roman" w:cs="Times New Roman"/>
          <w:lang w:val="ro-RO"/>
        </w:rPr>
        <w:lastRenderedPageBreak/>
        <w:t>locale, contribuind la îmbunătățirea infrastructurii de bază și la protejarea mediului, în conformitate cu obiectivele strategice stabilite în </w:t>
      </w:r>
      <w:r w:rsidRPr="00D33A34">
        <w:rPr>
          <w:rFonts w:ascii="Times New Roman" w:hAnsi="Times New Roman" w:cs="Times New Roman"/>
          <w:b/>
          <w:bCs/>
          <w:lang w:val="ro-RO"/>
        </w:rPr>
        <w:t>Planul de Dezvoltare Regională Bucuresti Ilfov.</w:t>
      </w:r>
    </w:p>
    <w:p w14:paraId="6EFD3095" w14:textId="2DA03C5A" w:rsidR="00E77FF4" w:rsidRPr="00D33A34" w:rsidRDefault="00E77FF4" w:rsidP="00CF6D0E">
      <w:pPr>
        <w:widowControl w:val="0"/>
        <w:spacing w:after="0" w:line="312" w:lineRule="auto"/>
        <w:jc w:val="both"/>
        <w:rPr>
          <w:rFonts w:ascii="Times New Roman" w:hAnsi="Times New Roman" w:cs="Times New Roman"/>
          <w:lang w:val="ro-RO"/>
        </w:rPr>
      </w:pPr>
      <w:r w:rsidRPr="00D33A34">
        <w:rPr>
          <w:rFonts w:ascii="Times New Roman" w:hAnsi="Times New Roman" w:cs="Times New Roman"/>
          <w:lang w:val="ro-RO"/>
        </w:rPr>
        <w:t>Prin implementarea investițiilor propuse în cadrul proiectului major vor fi atinse obiectivele POIM 2014-2020 în cadrul Axei 3, obiectiv specific 3.2, și, în același timp, proiectul va contribui la îndeplinirea angajamentelor României din Tratatul de Aderare și conformarea cu cerințele directivelor europene din sectorul de apă – </w:t>
      </w:r>
      <w:r w:rsidRPr="00D33A34">
        <w:rPr>
          <w:rFonts w:ascii="Times New Roman" w:hAnsi="Times New Roman" w:cs="Times New Roman"/>
          <w:b/>
          <w:bCs/>
          <w:i/>
          <w:iCs/>
          <w:lang w:val="ro-RO"/>
        </w:rPr>
        <w:t>Directiva (UE)2184/2020</w:t>
      </w:r>
      <w:r w:rsidRPr="00D33A34">
        <w:rPr>
          <w:rFonts w:ascii="Times New Roman" w:hAnsi="Times New Roman" w:cs="Times New Roman"/>
          <w:lang w:val="ro-RO"/>
        </w:rPr>
        <w:t>, respectiv </w:t>
      </w:r>
      <w:r w:rsidRPr="00D33A34">
        <w:rPr>
          <w:rFonts w:ascii="Times New Roman" w:hAnsi="Times New Roman" w:cs="Times New Roman"/>
          <w:b/>
          <w:bCs/>
          <w:i/>
          <w:iCs/>
          <w:lang w:val="ro-RO"/>
        </w:rPr>
        <w:t>Directiva 91/271/CEE</w:t>
      </w:r>
      <w:r w:rsidRPr="00D33A34">
        <w:rPr>
          <w:rFonts w:ascii="Times New Roman" w:hAnsi="Times New Roman" w:cs="Times New Roman"/>
          <w:lang w:val="ro-RO"/>
        </w:rPr>
        <w:t>. </w:t>
      </w:r>
      <w:r w:rsidRPr="00D33A34">
        <w:rPr>
          <w:rFonts w:ascii="Times New Roman" w:hAnsi="Times New Roman" w:cs="Times New Roman"/>
          <w:b/>
          <w:bCs/>
          <w:lang w:val="ro-RO"/>
        </w:rPr>
        <w:t xml:space="preserve">Rezultatele implementării proiectului vor asigura o mai bună alimentare cu apă pentru o populație suplimentară de 193.246 locuitori și de o mai bună tratare a apelor uzate pentru </w:t>
      </w:r>
      <w:r w:rsidRPr="00CF6D0E">
        <w:rPr>
          <w:rFonts w:ascii="Times New Roman" w:hAnsi="Times New Roman" w:cs="Times New Roman"/>
          <w:b/>
          <w:bCs/>
          <w:lang w:val="ro-RO"/>
        </w:rPr>
        <w:t xml:space="preserve">145.601 </w:t>
      </w:r>
      <w:r w:rsidRPr="00D33A34">
        <w:rPr>
          <w:rFonts w:ascii="Times New Roman" w:hAnsi="Times New Roman" w:cs="Times New Roman"/>
          <w:b/>
          <w:bCs/>
          <w:lang w:val="ro-RO"/>
        </w:rPr>
        <w:t>locuitori echivalenți.</w:t>
      </w:r>
    </w:p>
    <w:p w14:paraId="3C042691" w14:textId="77777777" w:rsidR="00E77FF4" w:rsidRPr="00CF6D0E" w:rsidRDefault="00E77FF4" w:rsidP="00CF6D0E">
      <w:pPr>
        <w:widowControl w:val="0"/>
        <w:spacing w:after="0" w:line="312" w:lineRule="auto"/>
        <w:jc w:val="both"/>
        <w:rPr>
          <w:rFonts w:ascii="Times New Roman" w:hAnsi="Times New Roman" w:cs="Times New Roman"/>
          <w:lang w:val="ro-RO"/>
        </w:rPr>
      </w:pPr>
    </w:p>
    <w:p w14:paraId="22A7145E" w14:textId="31835977" w:rsidR="00E77FF4" w:rsidRPr="00CF6D0E" w:rsidRDefault="00E77FF4" w:rsidP="00CF6D0E">
      <w:pPr>
        <w:widowControl w:val="0"/>
        <w:spacing w:after="0" w:line="312" w:lineRule="auto"/>
        <w:jc w:val="both"/>
        <w:rPr>
          <w:rFonts w:ascii="Times New Roman" w:hAnsi="Times New Roman" w:cs="Times New Roman"/>
          <w:lang w:val="ro-RO"/>
        </w:rPr>
      </w:pPr>
      <w:r w:rsidRPr="00CF6D0E">
        <w:rPr>
          <w:rFonts w:ascii="Times New Roman" w:hAnsi="Times New Roman" w:cs="Times New Roman"/>
          <w:lang w:val="ro-RO"/>
        </w:rPr>
        <w:t xml:space="preserve">Judetul Ilfov prezinta o dezvoltare demografica atipica fata de restul tarii, in sensul unei cresteri rapide a populatiei in aria proiectului. Desi Operatorul Regional - SC. APA - CANAL ILFOV SA a beneficiat de investitii in cadrul POS Mediu 2007 - 2013, in 8 UAT-uri, cresterea populatiei a devansat investitiile realizate. Proiectul este amplasat în judeţul Ilfov situat in partea de sud-est a României, desfasurându-se în jurul municipiului Bucuresti. In aria proiectului sunt incluse 3 orase, 17 comune. </w:t>
      </w:r>
    </w:p>
    <w:p w14:paraId="7EC51470" w14:textId="77777777" w:rsidR="00E77FF4" w:rsidRPr="00CF6D0E" w:rsidRDefault="00E77FF4" w:rsidP="00CF6D0E">
      <w:pPr>
        <w:widowControl w:val="0"/>
        <w:spacing w:after="0" w:line="312" w:lineRule="auto"/>
        <w:jc w:val="both"/>
        <w:rPr>
          <w:rFonts w:ascii="Times New Roman" w:hAnsi="Times New Roman" w:cs="Times New Roman"/>
          <w:lang w:val="ro-RO"/>
        </w:rPr>
      </w:pPr>
    </w:p>
    <w:p w14:paraId="69AE1907" w14:textId="77777777" w:rsidR="00E77FF4" w:rsidRPr="00CF6D0E" w:rsidRDefault="00E77FF4" w:rsidP="00CF6D0E">
      <w:pPr>
        <w:widowControl w:val="0"/>
        <w:spacing w:after="0" w:line="312" w:lineRule="auto"/>
        <w:jc w:val="both"/>
        <w:rPr>
          <w:rFonts w:ascii="Times New Roman" w:hAnsi="Times New Roman" w:cs="Times New Roman"/>
          <w:lang w:val="ro-RO"/>
        </w:rPr>
      </w:pPr>
      <w:r w:rsidRPr="00CF6D0E">
        <w:rPr>
          <w:rFonts w:ascii="Times New Roman" w:hAnsi="Times New Roman" w:cs="Times New Roman"/>
          <w:b/>
          <w:bCs/>
          <w:lang w:val="ro-RO"/>
        </w:rPr>
        <w:t>Alimentare cu apă</w:t>
      </w:r>
      <w:r w:rsidRPr="00CF6D0E">
        <w:rPr>
          <w:rFonts w:ascii="Times New Roman" w:hAnsi="Times New Roman" w:cs="Times New Roman"/>
          <w:lang w:val="ro-RO"/>
        </w:rPr>
        <w:t xml:space="preserve"> : Aria proiectului cuprinde 20 de UAT acoperite de 22 de sisteme de alimentare cu apă. Inainte de proiect, din totalul de 235.169 locuitori numai 41.064 (17,46%) beneficiaza de apă potabilă în conformitate cu Directiva 98/83/EC. Alimentarea centralizată cuprinde sursă subterană prin intermediul a 109 foraje, 2 racorduri la ANB, 36 km aducţiuni, 6 staţii de tratare apă, 17 staţii de clorare, 26 staţii de pompare, 37 rezervoare şi 626 km reţea de distribuţie cu aproximativ 26.000 branşamente. </w:t>
      </w:r>
    </w:p>
    <w:p w14:paraId="5703039F" w14:textId="77777777" w:rsidR="00E77FF4" w:rsidRPr="00CF6D0E" w:rsidRDefault="00E77FF4" w:rsidP="00CF6D0E">
      <w:pPr>
        <w:widowControl w:val="0"/>
        <w:spacing w:after="0" w:line="312" w:lineRule="auto"/>
        <w:jc w:val="both"/>
        <w:rPr>
          <w:rFonts w:ascii="Times New Roman" w:hAnsi="Times New Roman" w:cs="Times New Roman"/>
          <w:lang w:val="ro-RO"/>
        </w:rPr>
      </w:pPr>
    </w:p>
    <w:p w14:paraId="29AEE20D" w14:textId="77777777" w:rsidR="00E77FF4" w:rsidRPr="00CF6D0E" w:rsidRDefault="00E77FF4" w:rsidP="00CF6D0E">
      <w:pPr>
        <w:widowControl w:val="0"/>
        <w:spacing w:after="0" w:line="312" w:lineRule="auto"/>
        <w:jc w:val="both"/>
        <w:rPr>
          <w:rFonts w:ascii="Times New Roman" w:hAnsi="Times New Roman" w:cs="Times New Roman"/>
          <w:b/>
          <w:bCs/>
          <w:lang w:val="ro-RO"/>
        </w:rPr>
      </w:pPr>
      <w:r w:rsidRPr="00CF6D0E">
        <w:rPr>
          <w:rFonts w:ascii="Times New Roman" w:hAnsi="Times New Roman" w:cs="Times New Roman"/>
          <w:b/>
          <w:bCs/>
          <w:lang w:val="ro-RO"/>
        </w:rPr>
        <w:t xml:space="preserve">Canalizarea şi epurarea apelor uzate: </w:t>
      </w:r>
      <w:r w:rsidRPr="00CF6D0E">
        <w:rPr>
          <w:rFonts w:ascii="Times New Roman" w:hAnsi="Times New Roman" w:cs="Times New Roman"/>
          <w:lang w:val="ro-RO"/>
        </w:rPr>
        <w:t xml:space="preserve">Aria de acoperire a proiectului include 20 UATuri formând 14 aglomerări (una fiind aglomerarea Bucuresti–partial operata de ROC) cu încărcare care depăşeşte 2000 l.e. per aglomerare. Din încărcarea totală generata: 261.405 LE, numai 43,29% este epurată în conformitate cu cerinţele Directivei 91/271/EC. Infrastructura de apă uzată cuprinde în prezent 14 Staţii de epurare, 126 de staţii de pompare, 458 km de retea de canalizare menajeră gravitationala sau sub presiune prevăzute cu aproximativ 25.800 de racorduri la proprietăţi. </w:t>
      </w:r>
    </w:p>
    <w:p w14:paraId="7551D70E" w14:textId="77777777" w:rsidR="00E77FF4" w:rsidRPr="00CF6D0E" w:rsidRDefault="00E77FF4" w:rsidP="00CF6D0E">
      <w:pPr>
        <w:spacing w:after="0" w:line="312" w:lineRule="auto"/>
        <w:jc w:val="both"/>
        <w:rPr>
          <w:rFonts w:ascii="Times New Roman" w:hAnsi="Times New Roman" w:cs="Times New Roman"/>
          <w:b/>
          <w:bCs/>
          <w:lang w:val="ro-RO"/>
        </w:rPr>
      </w:pPr>
    </w:p>
    <w:p w14:paraId="55936D91" w14:textId="77777777" w:rsidR="00E77FF4" w:rsidRPr="003414F6" w:rsidRDefault="00E77FF4" w:rsidP="00CF6D0E">
      <w:pPr>
        <w:widowControl w:val="0"/>
        <w:spacing w:after="0" w:line="312" w:lineRule="auto"/>
        <w:jc w:val="both"/>
        <w:rPr>
          <w:rFonts w:ascii="Times New Roman" w:hAnsi="Times New Roman" w:cs="Times New Roman"/>
          <w:lang w:val="ro-RO"/>
        </w:rPr>
      </w:pPr>
      <w:r w:rsidRPr="003414F6">
        <w:rPr>
          <w:rFonts w:ascii="Times New Roman" w:hAnsi="Times New Roman" w:cs="Times New Roman"/>
          <w:b/>
          <w:bCs/>
          <w:lang w:val="ro-RO"/>
        </w:rPr>
        <w:t>În cadrul etapei a II-a a proiectului, vor fi realizate următoarele investiţii:       </w:t>
      </w:r>
    </w:p>
    <w:p w14:paraId="13DF3C34" w14:textId="77777777" w:rsidR="00E77FF4" w:rsidRPr="003414F6" w:rsidRDefault="00E77FF4" w:rsidP="00CF6D0E">
      <w:pPr>
        <w:widowControl w:val="0"/>
        <w:spacing w:after="0" w:line="312" w:lineRule="auto"/>
        <w:jc w:val="both"/>
        <w:rPr>
          <w:rFonts w:ascii="Times New Roman" w:hAnsi="Times New Roman" w:cs="Times New Roman"/>
          <w:b/>
          <w:bCs/>
          <w:lang w:val="ro-RO"/>
        </w:rPr>
      </w:pPr>
      <w:r w:rsidRPr="003414F6">
        <w:rPr>
          <w:rFonts w:ascii="Times New Roman" w:hAnsi="Times New Roman" w:cs="Times New Roman"/>
          <w:b/>
          <w:bCs/>
          <w:lang w:val="ro-RO"/>
        </w:rPr>
        <w:t>În rețeaua publică de alimentare cu apă potabilă:</w:t>
      </w:r>
    </w:p>
    <w:p w14:paraId="76155946" w14:textId="77777777" w:rsidR="00E77FF4" w:rsidRPr="003414F6" w:rsidRDefault="00E77FF4" w:rsidP="00CF6D0E">
      <w:pPr>
        <w:widowControl w:val="0"/>
        <w:numPr>
          <w:ilvl w:val="0"/>
          <w:numId w:val="2"/>
        </w:numPr>
        <w:spacing w:after="0" w:line="312" w:lineRule="auto"/>
        <w:jc w:val="both"/>
        <w:rPr>
          <w:rFonts w:ascii="Times New Roman" w:hAnsi="Times New Roman" w:cs="Times New Roman"/>
          <w:lang w:val="ro-RO"/>
        </w:rPr>
      </w:pPr>
      <w:r w:rsidRPr="003414F6">
        <w:rPr>
          <w:rFonts w:ascii="Times New Roman" w:hAnsi="Times New Roman" w:cs="Times New Roman"/>
          <w:lang w:val="ro-RO"/>
        </w:rPr>
        <w:t>Lungimea conductelor noi sau optimizate pentru sistemele de distribuție din rețeaua publică de alimentare cu apă: 686,52 km;</w:t>
      </w:r>
    </w:p>
    <w:p w14:paraId="2C0ED016" w14:textId="77777777" w:rsidR="00E77FF4" w:rsidRPr="003414F6" w:rsidRDefault="00E77FF4" w:rsidP="00CF6D0E">
      <w:pPr>
        <w:widowControl w:val="0"/>
        <w:numPr>
          <w:ilvl w:val="0"/>
          <w:numId w:val="2"/>
        </w:numPr>
        <w:spacing w:after="0" w:line="312" w:lineRule="auto"/>
        <w:jc w:val="both"/>
        <w:rPr>
          <w:rFonts w:ascii="Times New Roman" w:hAnsi="Times New Roman" w:cs="Times New Roman"/>
          <w:lang w:val="ro-RO"/>
        </w:rPr>
      </w:pPr>
      <w:r w:rsidRPr="003414F6">
        <w:rPr>
          <w:rFonts w:ascii="Times New Roman" w:hAnsi="Times New Roman" w:cs="Times New Roman"/>
          <w:lang w:val="ro-RO"/>
        </w:rPr>
        <w:t>Rezervoare înmagazinare apă: 23 bucăţi;</w:t>
      </w:r>
    </w:p>
    <w:p w14:paraId="4F51A6FF" w14:textId="77777777" w:rsidR="00E77FF4" w:rsidRPr="003414F6" w:rsidRDefault="00E77FF4" w:rsidP="00CF6D0E">
      <w:pPr>
        <w:widowControl w:val="0"/>
        <w:numPr>
          <w:ilvl w:val="0"/>
          <w:numId w:val="2"/>
        </w:numPr>
        <w:spacing w:after="0" w:line="312" w:lineRule="auto"/>
        <w:jc w:val="both"/>
        <w:rPr>
          <w:rFonts w:ascii="Times New Roman" w:hAnsi="Times New Roman" w:cs="Times New Roman"/>
          <w:lang w:val="ro-RO"/>
        </w:rPr>
      </w:pPr>
      <w:r w:rsidRPr="003414F6">
        <w:rPr>
          <w:rFonts w:ascii="Times New Roman" w:hAnsi="Times New Roman" w:cs="Times New Roman"/>
          <w:lang w:val="ro-RO"/>
        </w:rPr>
        <w:t>Staţii pompare apă: 25 bucăţi;</w:t>
      </w:r>
    </w:p>
    <w:p w14:paraId="0A8057A9" w14:textId="77777777" w:rsidR="00E77FF4" w:rsidRPr="003414F6" w:rsidRDefault="00E77FF4" w:rsidP="00CF6D0E">
      <w:pPr>
        <w:widowControl w:val="0"/>
        <w:numPr>
          <w:ilvl w:val="0"/>
          <w:numId w:val="2"/>
        </w:numPr>
        <w:spacing w:after="0" w:line="312" w:lineRule="auto"/>
        <w:jc w:val="both"/>
        <w:rPr>
          <w:rFonts w:ascii="Times New Roman" w:hAnsi="Times New Roman" w:cs="Times New Roman"/>
          <w:lang w:val="ro-RO"/>
        </w:rPr>
      </w:pPr>
      <w:r w:rsidRPr="003414F6">
        <w:rPr>
          <w:rFonts w:ascii="Times New Roman" w:hAnsi="Times New Roman" w:cs="Times New Roman"/>
          <w:lang w:val="ro-RO"/>
        </w:rPr>
        <w:t>Staţii tratare apă:26 bucăţi.</w:t>
      </w:r>
    </w:p>
    <w:p w14:paraId="78AFABC2" w14:textId="77777777" w:rsidR="00E77FF4" w:rsidRPr="003414F6" w:rsidRDefault="00E77FF4" w:rsidP="00CF6D0E">
      <w:pPr>
        <w:widowControl w:val="0"/>
        <w:spacing w:after="0" w:line="312" w:lineRule="auto"/>
        <w:jc w:val="both"/>
        <w:rPr>
          <w:rFonts w:ascii="Times New Roman" w:hAnsi="Times New Roman" w:cs="Times New Roman"/>
          <w:b/>
          <w:bCs/>
          <w:lang w:val="ro-RO"/>
        </w:rPr>
      </w:pPr>
      <w:r w:rsidRPr="003414F6">
        <w:rPr>
          <w:rFonts w:ascii="Times New Roman" w:hAnsi="Times New Roman" w:cs="Times New Roman"/>
          <w:b/>
          <w:bCs/>
          <w:lang w:val="ro-RO"/>
        </w:rPr>
        <w:t>În rețeaua publică de canalizare:</w:t>
      </w:r>
    </w:p>
    <w:p w14:paraId="065D289E" w14:textId="77777777" w:rsidR="00E77FF4" w:rsidRPr="003414F6" w:rsidRDefault="00E77FF4" w:rsidP="00CF6D0E">
      <w:pPr>
        <w:widowControl w:val="0"/>
        <w:numPr>
          <w:ilvl w:val="0"/>
          <w:numId w:val="3"/>
        </w:numPr>
        <w:spacing w:after="0" w:line="312" w:lineRule="auto"/>
        <w:jc w:val="both"/>
        <w:rPr>
          <w:rFonts w:ascii="Times New Roman" w:hAnsi="Times New Roman" w:cs="Times New Roman"/>
          <w:lang w:val="ro-RO"/>
        </w:rPr>
      </w:pPr>
      <w:r w:rsidRPr="003414F6">
        <w:rPr>
          <w:rFonts w:ascii="Times New Roman" w:hAnsi="Times New Roman" w:cs="Times New Roman"/>
          <w:lang w:val="ro-RO"/>
        </w:rPr>
        <w:t>Lungimea conductelor noi sau optimizate pentru rețeaua publică de colectare a apelor uzate : 752.09km;</w:t>
      </w:r>
    </w:p>
    <w:p w14:paraId="3EEBE1AE" w14:textId="77777777" w:rsidR="00E77FF4" w:rsidRPr="003414F6" w:rsidRDefault="00E77FF4" w:rsidP="00CF6D0E">
      <w:pPr>
        <w:widowControl w:val="0"/>
        <w:numPr>
          <w:ilvl w:val="0"/>
          <w:numId w:val="3"/>
        </w:numPr>
        <w:spacing w:after="0" w:line="312" w:lineRule="auto"/>
        <w:jc w:val="both"/>
        <w:rPr>
          <w:rFonts w:ascii="Times New Roman" w:hAnsi="Times New Roman" w:cs="Times New Roman"/>
          <w:lang w:val="ro-RO"/>
        </w:rPr>
      </w:pPr>
      <w:r w:rsidRPr="003414F6">
        <w:rPr>
          <w:rFonts w:ascii="Times New Roman" w:hAnsi="Times New Roman" w:cs="Times New Roman"/>
          <w:lang w:val="ro-RO"/>
        </w:rPr>
        <w:lastRenderedPageBreak/>
        <w:t>Staţii de epurare ape uzate care deservesc aglomerări cu peste 10.000 l.e: 5 bucăţi;</w:t>
      </w:r>
    </w:p>
    <w:p w14:paraId="7A3DB775" w14:textId="77777777" w:rsidR="00E77FF4" w:rsidRPr="003414F6" w:rsidRDefault="00E77FF4" w:rsidP="00CF6D0E">
      <w:pPr>
        <w:widowControl w:val="0"/>
        <w:numPr>
          <w:ilvl w:val="0"/>
          <w:numId w:val="3"/>
        </w:numPr>
        <w:spacing w:after="0" w:line="312" w:lineRule="auto"/>
        <w:jc w:val="both"/>
        <w:rPr>
          <w:rFonts w:ascii="Times New Roman" w:hAnsi="Times New Roman" w:cs="Times New Roman"/>
          <w:lang w:val="ro-RO"/>
        </w:rPr>
      </w:pPr>
      <w:r w:rsidRPr="003414F6">
        <w:rPr>
          <w:rFonts w:ascii="Times New Roman" w:hAnsi="Times New Roman" w:cs="Times New Roman"/>
          <w:lang w:val="ro-RO"/>
        </w:rPr>
        <w:t>Staţii de epurare ape uzate care deservesc aglomerări sub 10.000 l.e: 6 bucăţi;</w:t>
      </w:r>
    </w:p>
    <w:p w14:paraId="2CB40F3F" w14:textId="77777777" w:rsidR="00E77FF4" w:rsidRPr="003414F6" w:rsidRDefault="00E77FF4" w:rsidP="00CF6D0E">
      <w:pPr>
        <w:widowControl w:val="0"/>
        <w:numPr>
          <w:ilvl w:val="0"/>
          <w:numId w:val="3"/>
        </w:numPr>
        <w:spacing w:after="0" w:line="312" w:lineRule="auto"/>
        <w:jc w:val="both"/>
        <w:rPr>
          <w:rFonts w:ascii="Times New Roman" w:hAnsi="Times New Roman" w:cs="Times New Roman"/>
          <w:lang w:val="ro-RO"/>
        </w:rPr>
      </w:pPr>
      <w:r w:rsidRPr="003414F6">
        <w:rPr>
          <w:rFonts w:ascii="Times New Roman" w:hAnsi="Times New Roman" w:cs="Times New Roman"/>
          <w:lang w:val="ro-RO"/>
        </w:rPr>
        <w:t>Staţii pompare apă uzată: 291 bucăţi.</w:t>
      </w:r>
    </w:p>
    <w:p w14:paraId="7951AA04" w14:textId="77777777" w:rsidR="00E77FF4" w:rsidRPr="00CF6D0E" w:rsidRDefault="00E77FF4" w:rsidP="00CF6D0E">
      <w:pPr>
        <w:widowControl w:val="0"/>
        <w:spacing w:after="0" w:line="312" w:lineRule="auto"/>
        <w:jc w:val="both"/>
        <w:rPr>
          <w:rFonts w:ascii="Times New Roman" w:hAnsi="Times New Roman" w:cs="Times New Roman"/>
          <w:lang w:val="ro-RO"/>
        </w:rPr>
      </w:pPr>
    </w:p>
    <w:p w14:paraId="4CF45F40" w14:textId="77777777" w:rsidR="00E77FF4" w:rsidRPr="003414F6" w:rsidRDefault="00E77FF4" w:rsidP="00CF6D0E">
      <w:pPr>
        <w:widowControl w:val="0"/>
        <w:spacing w:after="0" w:line="312" w:lineRule="auto"/>
        <w:jc w:val="both"/>
        <w:rPr>
          <w:rFonts w:ascii="Times New Roman" w:hAnsi="Times New Roman" w:cs="Times New Roman"/>
          <w:lang w:val="ro-RO"/>
        </w:rPr>
      </w:pPr>
      <w:r w:rsidRPr="00CF6D0E">
        <w:rPr>
          <w:rFonts w:ascii="Times New Roman" w:hAnsi="Times New Roman" w:cs="Times New Roman"/>
          <w:lang w:val="ro-RO"/>
        </w:rPr>
        <w:t>Ef</w:t>
      </w:r>
      <w:r w:rsidRPr="003414F6">
        <w:rPr>
          <w:rFonts w:ascii="Times New Roman" w:hAnsi="Times New Roman" w:cs="Times New Roman"/>
          <w:lang w:val="ro-RO"/>
        </w:rPr>
        <w:t>ectele rezultatelor ce se vor obţine prin implementarea proiectului se vor cuantifica, din punct de vedere al serviciilor oferite de către SC. APA-CANAL ILFOV SA. în aria sa de operare:</w:t>
      </w:r>
    </w:p>
    <w:p w14:paraId="55F70792" w14:textId="77777777" w:rsidR="00E77FF4" w:rsidRPr="003414F6" w:rsidRDefault="00E77FF4" w:rsidP="00CF6D0E">
      <w:pPr>
        <w:widowControl w:val="0"/>
        <w:numPr>
          <w:ilvl w:val="0"/>
          <w:numId w:val="4"/>
        </w:numPr>
        <w:spacing w:after="0" w:line="312" w:lineRule="auto"/>
        <w:jc w:val="both"/>
        <w:rPr>
          <w:rFonts w:ascii="Times New Roman" w:hAnsi="Times New Roman" w:cs="Times New Roman"/>
          <w:lang w:val="ro-RO"/>
        </w:rPr>
      </w:pPr>
      <w:r w:rsidRPr="003414F6">
        <w:rPr>
          <w:rFonts w:ascii="Times New Roman" w:hAnsi="Times New Roman" w:cs="Times New Roman"/>
          <w:lang w:val="ro-RO"/>
        </w:rPr>
        <w:t>printr-o furnizare continuă, fără întreruperi, a unui volum suficient de apă potabilă sigură;</w:t>
      </w:r>
    </w:p>
    <w:p w14:paraId="00EA4668" w14:textId="77777777" w:rsidR="00E77FF4" w:rsidRPr="003414F6" w:rsidRDefault="00E77FF4" w:rsidP="00CF6D0E">
      <w:pPr>
        <w:widowControl w:val="0"/>
        <w:numPr>
          <w:ilvl w:val="0"/>
          <w:numId w:val="4"/>
        </w:numPr>
        <w:spacing w:after="0" w:line="312" w:lineRule="auto"/>
        <w:jc w:val="both"/>
        <w:rPr>
          <w:rFonts w:ascii="Times New Roman" w:hAnsi="Times New Roman" w:cs="Times New Roman"/>
          <w:lang w:val="ro-RO"/>
        </w:rPr>
      </w:pPr>
      <w:r w:rsidRPr="003414F6">
        <w:rPr>
          <w:rFonts w:ascii="Times New Roman" w:hAnsi="Times New Roman" w:cs="Times New Roman"/>
          <w:lang w:val="ro-RO"/>
        </w:rPr>
        <w:t>funcţionare sigură, la parametri de presiune şi debit corespunzătoare;</w:t>
      </w:r>
    </w:p>
    <w:p w14:paraId="369BB981" w14:textId="77777777" w:rsidR="00E77FF4" w:rsidRPr="003414F6" w:rsidRDefault="00E77FF4" w:rsidP="00CF6D0E">
      <w:pPr>
        <w:widowControl w:val="0"/>
        <w:numPr>
          <w:ilvl w:val="0"/>
          <w:numId w:val="4"/>
        </w:numPr>
        <w:spacing w:after="0" w:line="312" w:lineRule="auto"/>
        <w:jc w:val="both"/>
        <w:rPr>
          <w:rFonts w:ascii="Times New Roman" w:hAnsi="Times New Roman" w:cs="Times New Roman"/>
          <w:lang w:val="ro-RO"/>
        </w:rPr>
      </w:pPr>
      <w:r w:rsidRPr="003414F6">
        <w:rPr>
          <w:rFonts w:ascii="Times New Roman" w:hAnsi="Times New Roman" w:cs="Times New Roman"/>
          <w:lang w:val="ro-RO"/>
        </w:rPr>
        <w:t>reducerea pierderilor din reţea (valorificată prin scăderea volumului de apă neaducătoare de venit la niveluri admisibile);</w:t>
      </w:r>
    </w:p>
    <w:p w14:paraId="0F286CC6" w14:textId="77777777" w:rsidR="00E77FF4" w:rsidRPr="003414F6" w:rsidRDefault="00E77FF4" w:rsidP="00CF6D0E">
      <w:pPr>
        <w:widowControl w:val="0"/>
        <w:numPr>
          <w:ilvl w:val="0"/>
          <w:numId w:val="4"/>
        </w:numPr>
        <w:spacing w:after="0" w:line="312" w:lineRule="auto"/>
        <w:jc w:val="both"/>
        <w:rPr>
          <w:rFonts w:ascii="Times New Roman" w:hAnsi="Times New Roman" w:cs="Times New Roman"/>
          <w:lang w:val="ro-RO"/>
        </w:rPr>
      </w:pPr>
      <w:r w:rsidRPr="003414F6">
        <w:rPr>
          <w:rFonts w:ascii="Times New Roman" w:hAnsi="Times New Roman" w:cs="Times New Roman"/>
          <w:lang w:val="ro-RO"/>
        </w:rPr>
        <w:t>reducerea la minim a riscurilor de apariţie a avariilor şi întreruperilor în sistemele de alimentare cu apă, respectiv de colectare apă uzată, cu efecte pozitive asupra sănătăţii populaţiei;</w:t>
      </w:r>
    </w:p>
    <w:p w14:paraId="1CE19DE1" w14:textId="77777777" w:rsidR="00E77FF4" w:rsidRPr="003414F6" w:rsidRDefault="00E77FF4" w:rsidP="00CF6D0E">
      <w:pPr>
        <w:widowControl w:val="0"/>
        <w:numPr>
          <w:ilvl w:val="0"/>
          <w:numId w:val="4"/>
        </w:numPr>
        <w:spacing w:after="0" w:line="312" w:lineRule="auto"/>
        <w:jc w:val="both"/>
        <w:rPr>
          <w:rFonts w:ascii="Times New Roman" w:hAnsi="Times New Roman" w:cs="Times New Roman"/>
          <w:lang w:val="ro-RO"/>
        </w:rPr>
      </w:pPr>
      <w:r w:rsidRPr="003414F6">
        <w:rPr>
          <w:rFonts w:ascii="Times New Roman" w:hAnsi="Times New Roman" w:cs="Times New Roman"/>
          <w:lang w:val="ro-RO"/>
        </w:rPr>
        <w:t>reducerea infiltraţiilor la valori admisibile în reţeaua de canalizare, cu efecte pozitive în optimizarea procesului de tratare a apelor uzate şi reducerea costurilor de exploatare;</w:t>
      </w:r>
    </w:p>
    <w:p w14:paraId="16729230" w14:textId="7838E7FA" w:rsidR="00E77FF4" w:rsidRPr="00CF6D0E" w:rsidRDefault="00E77FF4" w:rsidP="00CF6D0E">
      <w:pPr>
        <w:widowControl w:val="0"/>
        <w:numPr>
          <w:ilvl w:val="0"/>
          <w:numId w:val="4"/>
        </w:numPr>
        <w:spacing w:after="0" w:line="312" w:lineRule="auto"/>
        <w:jc w:val="both"/>
        <w:rPr>
          <w:rFonts w:ascii="Times New Roman" w:hAnsi="Times New Roman" w:cs="Times New Roman"/>
          <w:lang w:val="ro-RO"/>
        </w:rPr>
      </w:pPr>
      <w:r w:rsidRPr="003414F6">
        <w:rPr>
          <w:rFonts w:ascii="Times New Roman" w:hAnsi="Times New Roman" w:cs="Times New Roman"/>
          <w:lang w:val="ro-RO"/>
        </w:rPr>
        <w:t>creşterea calităţii procesului de tratare a apelor uzate, cu efecte pozitive de mediu, prin reducerea / minimalizarea impactului negativ asupra calităţii corpurilor de apă</w:t>
      </w:r>
      <w:r w:rsidR="009402D4">
        <w:rPr>
          <w:rFonts w:ascii="Times New Roman" w:hAnsi="Times New Roman" w:cs="Times New Roman"/>
          <w:lang w:val="ro-RO"/>
        </w:rPr>
        <w:t>.</w:t>
      </w:r>
    </w:p>
    <w:p w14:paraId="445EFFEC" w14:textId="77777777" w:rsidR="00E77FF4" w:rsidRPr="00CF6D0E" w:rsidRDefault="00E77FF4" w:rsidP="00CF6D0E">
      <w:pPr>
        <w:widowControl w:val="0"/>
        <w:spacing w:after="0" w:line="312" w:lineRule="auto"/>
        <w:ind w:left="720"/>
        <w:jc w:val="both"/>
        <w:rPr>
          <w:rFonts w:ascii="Times New Roman" w:hAnsi="Times New Roman" w:cs="Times New Roman"/>
          <w:lang w:val="ro-RO"/>
        </w:rPr>
      </w:pPr>
    </w:p>
    <w:p w14:paraId="6BC5D872" w14:textId="77777777" w:rsidR="00EC33F5" w:rsidRPr="00CB7B38" w:rsidRDefault="00EC33F5" w:rsidP="00CF6D0E">
      <w:pPr>
        <w:spacing w:after="0" w:line="312" w:lineRule="auto"/>
        <w:jc w:val="both"/>
        <w:rPr>
          <w:rFonts w:ascii="Times New Roman" w:hAnsi="Times New Roman" w:cs="Times New Roman"/>
          <w:b/>
          <w:bCs/>
          <w:lang w:val="ro-RO"/>
        </w:rPr>
      </w:pPr>
      <w:r w:rsidRPr="00CB7B38">
        <w:rPr>
          <w:rFonts w:ascii="Times New Roman" w:hAnsi="Times New Roman" w:cs="Times New Roman"/>
          <w:b/>
          <w:bCs/>
          <w:lang w:val="ro-RO"/>
        </w:rPr>
        <w:t>Etapa a II-a a Proiectului major de investiții vizează atingerea următorilor indicatori de rezultat:</w:t>
      </w:r>
    </w:p>
    <w:p w14:paraId="200D8753" w14:textId="77777777" w:rsidR="00EC33F5" w:rsidRPr="00CB7B38" w:rsidRDefault="00EC33F5" w:rsidP="00CF6D0E">
      <w:pPr>
        <w:numPr>
          <w:ilvl w:val="0"/>
          <w:numId w:val="5"/>
        </w:numPr>
        <w:spacing w:after="0" w:line="312" w:lineRule="auto"/>
        <w:jc w:val="both"/>
        <w:rPr>
          <w:rFonts w:ascii="Times New Roman" w:hAnsi="Times New Roman" w:cs="Times New Roman"/>
          <w:lang w:val="ro-RO"/>
        </w:rPr>
      </w:pPr>
      <w:r w:rsidRPr="00CB7B38">
        <w:rPr>
          <w:rFonts w:ascii="Times New Roman" w:hAnsi="Times New Roman" w:cs="Times New Roman"/>
          <w:b/>
          <w:bCs/>
          <w:lang w:val="ro-RO"/>
        </w:rPr>
        <w:t>RCR41</w:t>
      </w:r>
      <w:r w:rsidRPr="00CB7B38">
        <w:rPr>
          <w:rFonts w:ascii="Times New Roman" w:hAnsi="Times New Roman" w:cs="Times New Roman"/>
          <w:lang w:val="ro-RO"/>
        </w:rPr>
        <w:t>: Populația racordată la rețele publice îmbunătățite de alimentare cu apă 190.608 persoane;</w:t>
      </w:r>
    </w:p>
    <w:p w14:paraId="6AE8AC5E" w14:textId="3697CA4E" w:rsidR="00EC33F5" w:rsidRPr="00CF6D0E" w:rsidRDefault="00EC33F5" w:rsidP="00CF6D0E">
      <w:pPr>
        <w:numPr>
          <w:ilvl w:val="0"/>
          <w:numId w:val="5"/>
        </w:numPr>
        <w:spacing w:after="0" w:line="312" w:lineRule="auto"/>
        <w:jc w:val="both"/>
        <w:rPr>
          <w:rFonts w:ascii="Times New Roman" w:hAnsi="Times New Roman" w:cs="Times New Roman"/>
          <w:lang w:val="ro-RO"/>
        </w:rPr>
      </w:pPr>
      <w:r w:rsidRPr="00CB7B38">
        <w:rPr>
          <w:rFonts w:ascii="Times New Roman" w:hAnsi="Times New Roman" w:cs="Times New Roman"/>
          <w:lang w:val="ro-RO"/>
        </w:rPr>
        <w:t xml:space="preserve">RCR42: Populația racordată cel puțin la instalații publice secundare de tratare a apelor uzate: </w:t>
      </w:r>
      <w:r w:rsidR="00E77FF4" w:rsidRPr="00CF6D0E">
        <w:rPr>
          <w:rFonts w:ascii="Times New Roman" w:hAnsi="Times New Roman" w:cs="Times New Roman"/>
          <w:lang w:val="ro-RO"/>
        </w:rPr>
        <w:t xml:space="preserve">122.816 </w:t>
      </w:r>
      <w:r w:rsidRPr="00CB7B38">
        <w:rPr>
          <w:rFonts w:ascii="Times New Roman" w:hAnsi="Times New Roman" w:cs="Times New Roman"/>
          <w:lang w:val="ro-RO"/>
        </w:rPr>
        <w:t>persoane</w:t>
      </w:r>
      <w:r w:rsidR="009402D4">
        <w:rPr>
          <w:rFonts w:ascii="Times New Roman" w:hAnsi="Times New Roman" w:cs="Times New Roman"/>
          <w:lang w:val="ro-RO"/>
        </w:rPr>
        <w:t>.</w:t>
      </w:r>
    </w:p>
    <w:p w14:paraId="6ED5D5DE" w14:textId="77777777" w:rsidR="00E77FF4" w:rsidRPr="00CF6D0E" w:rsidRDefault="00E77FF4" w:rsidP="00CF6D0E">
      <w:pPr>
        <w:spacing w:after="0" w:line="312" w:lineRule="auto"/>
        <w:jc w:val="both"/>
        <w:rPr>
          <w:rFonts w:ascii="Times New Roman" w:hAnsi="Times New Roman" w:cs="Times New Roman"/>
          <w:b/>
          <w:bCs/>
          <w:lang w:val="ro-RO"/>
        </w:rPr>
      </w:pPr>
    </w:p>
    <w:p w14:paraId="00DA919E" w14:textId="77777777" w:rsidR="00E77FF4" w:rsidRPr="00CF6D0E" w:rsidRDefault="00E77FF4" w:rsidP="00CF6D0E">
      <w:pPr>
        <w:widowControl w:val="0"/>
        <w:spacing w:after="0" w:line="312" w:lineRule="auto"/>
        <w:jc w:val="both"/>
        <w:rPr>
          <w:rFonts w:ascii="Times New Roman" w:hAnsi="Times New Roman" w:cs="Times New Roman"/>
          <w:b/>
          <w:bCs/>
          <w:lang w:val="ro-RO"/>
        </w:rPr>
      </w:pPr>
      <w:r w:rsidRPr="00CF6D0E">
        <w:rPr>
          <w:rFonts w:ascii="Times New Roman" w:hAnsi="Times New Roman" w:cs="Times New Roman"/>
          <w:b/>
          <w:bCs/>
          <w:lang w:val="ro-RO"/>
        </w:rPr>
        <w:t>Sumar indicatori de realizare (program):</w:t>
      </w:r>
    </w:p>
    <w:p w14:paraId="5C10FDFD" w14:textId="3A286A44" w:rsidR="00E77FF4" w:rsidRPr="00CF6D0E" w:rsidRDefault="00E77FF4" w:rsidP="00CF6D0E">
      <w:pPr>
        <w:widowControl w:val="0"/>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RCO31_Lungimea conductelor noi sau optimizate pentru rețeaua publică de colectare a apelor uzate - Țintă: 752,09 km</w:t>
      </w:r>
      <w:r w:rsidR="00CF6D0E" w:rsidRPr="00CF6D0E">
        <w:rPr>
          <w:rFonts w:ascii="Times New Roman" w:hAnsi="Times New Roman" w:cs="Times New Roman"/>
          <w:color w:val="000000" w:themeColor="text1"/>
          <w:lang w:val="ro-RO"/>
        </w:rPr>
        <w:t xml:space="preserve">. Realizat </w:t>
      </w:r>
      <w:r w:rsidRPr="00CF6D0E">
        <w:rPr>
          <w:rFonts w:ascii="Times New Roman" w:hAnsi="Times New Roman" w:cs="Times New Roman"/>
          <w:color w:val="000000" w:themeColor="text1"/>
          <w:lang w:val="ro-RO"/>
        </w:rPr>
        <w:t xml:space="preserve"> = 87.362</w:t>
      </w:r>
      <w:r w:rsidR="009402D4">
        <w:rPr>
          <w:rFonts w:ascii="Times New Roman" w:hAnsi="Times New Roman" w:cs="Times New Roman"/>
          <w:color w:val="000000" w:themeColor="text1"/>
          <w:lang w:val="ro-RO"/>
        </w:rPr>
        <w:t>.</w:t>
      </w:r>
    </w:p>
    <w:p w14:paraId="12ECB778" w14:textId="3B8183B4" w:rsidR="00E77FF4" w:rsidRPr="00CF6D0E" w:rsidRDefault="00E77FF4" w:rsidP="00CF6D0E">
      <w:pPr>
        <w:widowControl w:val="0"/>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RCO30_Lungimea conductelor noi sau optimizate pentru sistemele de distribuție din rețeaua publică de alimentare cu apă - Țintă: 686,52 km</w:t>
      </w:r>
      <w:r w:rsidR="00CF6D0E" w:rsidRPr="00CF6D0E">
        <w:rPr>
          <w:rFonts w:ascii="Times New Roman" w:hAnsi="Times New Roman" w:cs="Times New Roman"/>
          <w:color w:val="000000" w:themeColor="text1"/>
          <w:lang w:val="ro-RO"/>
        </w:rPr>
        <w:t xml:space="preserve">. Realizat  </w:t>
      </w:r>
      <w:r w:rsidRPr="00CF6D0E">
        <w:rPr>
          <w:rFonts w:ascii="Times New Roman" w:hAnsi="Times New Roman" w:cs="Times New Roman"/>
          <w:color w:val="000000" w:themeColor="text1"/>
          <w:lang w:val="ro-RO"/>
        </w:rPr>
        <w:t xml:space="preserve"> = 52.318</w:t>
      </w:r>
      <w:r w:rsidR="009402D4">
        <w:rPr>
          <w:rFonts w:ascii="Times New Roman" w:hAnsi="Times New Roman" w:cs="Times New Roman"/>
          <w:color w:val="000000" w:themeColor="text1"/>
          <w:lang w:val="ro-RO"/>
        </w:rPr>
        <w:t>.</w:t>
      </w:r>
    </w:p>
    <w:p w14:paraId="1E472C65" w14:textId="72A6516D" w:rsidR="00E77FF4" w:rsidRPr="00CF6D0E" w:rsidRDefault="00E77FF4" w:rsidP="00CF6D0E">
      <w:pPr>
        <w:widowControl w:val="0"/>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RCO32_Capacități noi sau optimizate pentru tratarea apelor uzate – Țintǎ 145.601 echivalent locuitor</w:t>
      </w:r>
      <w:r w:rsidR="009402D4">
        <w:rPr>
          <w:rFonts w:ascii="Times New Roman" w:hAnsi="Times New Roman" w:cs="Times New Roman"/>
          <w:color w:val="000000" w:themeColor="text1"/>
          <w:lang w:val="ro-RO"/>
        </w:rPr>
        <w:t>.</w:t>
      </w:r>
    </w:p>
    <w:p w14:paraId="16C139EC" w14:textId="77777777" w:rsidR="00E77FF4" w:rsidRPr="00CF6D0E" w:rsidRDefault="00E77FF4" w:rsidP="00CF6D0E">
      <w:pPr>
        <w:widowControl w:val="0"/>
        <w:spacing w:after="0" w:line="312" w:lineRule="auto"/>
        <w:jc w:val="both"/>
        <w:rPr>
          <w:rFonts w:ascii="Times New Roman" w:hAnsi="Times New Roman" w:cs="Times New Roman"/>
          <w:b/>
          <w:bCs/>
          <w:color w:val="000000" w:themeColor="text1"/>
          <w:lang w:val="ro-RO"/>
        </w:rPr>
      </w:pPr>
    </w:p>
    <w:p w14:paraId="0DD7C889" w14:textId="77777777" w:rsidR="00E77FF4" w:rsidRPr="00CF6D0E" w:rsidRDefault="00E77FF4" w:rsidP="00CF6D0E">
      <w:pPr>
        <w:widowControl w:val="0"/>
        <w:spacing w:after="0" w:line="312" w:lineRule="auto"/>
        <w:jc w:val="both"/>
        <w:rPr>
          <w:rFonts w:ascii="Times New Roman" w:hAnsi="Times New Roman" w:cs="Times New Roman"/>
          <w:b/>
          <w:bCs/>
          <w:color w:val="000000" w:themeColor="text1"/>
          <w:lang w:val="ro-RO"/>
        </w:rPr>
      </w:pPr>
      <w:r w:rsidRPr="00CF6D0E">
        <w:rPr>
          <w:rFonts w:ascii="Times New Roman" w:hAnsi="Times New Roman" w:cs="Times New Roman"/>
          <w:b/>
          <w:bCs/>
          <w:color w:val="000000" w:themeColor="text1"/>
          <w:lang w:val="ro-RO"/>
        </w:rPr>
        <w:t>Sumar indicatori suplimentari de realizare</w:t>
      </w:r>
    </w:p>
    <w:p w14:paraId="2A34F348" w14:textId="77777777" w:rsidR="00E77FF4" w:rsidRPr="00CF6D0E" w:rsidRDefault="00E77FF4" w:rsidP="00CF6D0E">
      <w:pPr>
        <w:widowControl w:val="0"/>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b/>
          <w:bCs/>
          <w:color w:val="000000" w:themeColor="text1"/>
          <w:lang w:val="ro-RO"/>
        </w:rPr>
        <w:t>2S80 - Statii de epurare ape uzate care deservesc aglomerari sub 10.000 l.e</w:t>
      </w:r>
      <w:r w:rsidRPr="00CF6D0E">
        <w:rPr>
          <w:rFonts w:ascii="Times New Roman" w:hAnsi="Times New Roman" w:cs="Times New Roman"/>
          <w:color w:val="000000" w:themeColor="text1"/>
          <w:lang w:val="ro-RO"/>
        </w:rPr>
        <w:t>. (bucati): Regiune mai dezvoltata - Țintă: 6,00 bucati</w:t>
      </w:r>
    </w:p>
    <w:p w14:paraId="4C65DDE2" w14:textId="7D0F735D" w:rsidR="00E77FF4" w:rsidRPr="00CF6D0E" w:rsidRDefault="00E77FF4" w:rsidP="00CF6D0E">
      <w:pPr>
        <w:pStyle w:val="ListParagraph"/>
        <w:widowControl w:val="0"/>
        <w:numPr>
          <w:ilvl w:val="0"/>
          <w:numId w:val="8"/>
        </w:numPr>
        <w:spacing w:after="0" w:line="312" w:lineRule="auto"/>
        <w:jc w:val="both"/>
        <w:rPr>
          <w:rFonts w:ascii="Times New Roman" w:hAnsi="Times New Roman" w:cs="Times New Roman"/>
          <w:color w:val="000000" w:themeColor="text1"/>
          <w:lang w:val="ro-RO"/>
        </w:rPr>
      </w:pPr>
      <w:r w:rsidRPr="00CF6D0E">
        <w:rPr>
          <w:rFonts w:ascii="Times New Roman" w:hAnsi="Times New Roman" w:cs="Times New Roman"/>
          <w:color w:val="000000" w:themeColor="text1"/>
          <w:lang w:val="ro-RO"/>
        </w:rPr>
        <w:t>Foraje noi: Regiune mai dezvoltata - Țintă: 44,00 bucati</w:t>
      </w:r>
      <w:r w:rsidR="00CF6D0E" w:rsidRPr="00CF6D0E">
        <w:rPr>
          <w:rFonts w:ascii="Times New Roman" w:hAnsi="Times New Roman" w:cs="Times New Roman"/>
          <w:color w:val="000000" w:themeColor="text1"/>
          <w:lang w:val="ro-RO"/>
        </w:rPr>
        <w:t xml:space="preserve">. Realizat  </w:t>
      </w:r>
      <w:r w:rsidRPr="00CF6D0E">
        <w:rPr>
          <w:rFonts w:ascii="Times New Roman" w:hAnsi="Times New Roman" w:cs="Times New Roman"/>
          <w:color w:val="000000" w:themeColor="text1"/>
          <w:lang w:val="ro-RO"/>
        </w:rPr>
        <w:t>= 2 bucati</w:t>
      </w:r>
    </w:p>
    <w:p w14:paraId="7AFE00F0" w14:textId="77777777" w:rsidR="00E77FF4" w:rsidRPr="00CF6D0E" w:rsidRDefault="00E77FF4" w:rsidP="00CF6D0E">
      <w:pPr>
        <w:widowControl w:val="0"/>
        <w:spacing w:after="0" w:line="312" w:lineRule="auto"/>
        <w:jc w:val="both"/>
        <w:rPr>
          <w:rFonts w:ascii="Times New Roman" w:hAnsi="Times New Roman" w:cs="Times New Roman"/>
          <w:lang w:val="ro-RO"/>
        </w:rPr>
      </w:pPr>
      <w:r w:rsidRPr="00CF6D0E">
        <w:rPr>
          <w:rFonts w:ascii="Times New Roman" w:hAnsi="Times New Roman" w:cs="Times New Roman"/>
          <w:b/>
          <w:bCs/>
          <w:lang w:val="ro-RO"/>
        </w:rPr>
        <w:t>2S79 - Statii de epurare ape uzate care deservesc aglomerari peste 10.000 l.e</w:t>
      </w:r>
      <w:r w:rsidRPr="00CF6D0E">
        <w:rPr>
          <w:rFonts w:ascii="Times New Roman" w:hAnsi="Times New Roman" w:cs="Times New Roman"/>
          <w:lang w:val="ro-RO"/>
        </w:rPr>
        <w:t>.: Regiune mai dezvoltata - Țintă: 5,00 bucati</w:t>
      </w:r>
    </w:p>
    <w:p w14:paraId="7D76EF38" w14:textId="77777777" w:rsidR="00E77FF4" w:rsidRPr="00CF6D0E" w:rsidRDefault="00E77FF4" w:rsidP="00CF6D0E">
      <w:pPr>
        <w:widowControl w:val="0"/>
        <w:spacing w:after="0" w:line="312" w:lineRule="auto"/>
        <w:jc w:val="both"/>
        <w:rPr>
          <w:rFonts w:ascii="Times New Roman" w:hAnsi="Times New Roman" w:cs="Times New Roman"/>
          <w:lang w:val="ro-RO"/>
        </w:rPr>
      </w:pPr>
      <w:r w:rsidRPr="00CF6D0E">
        <w:rPr>
          <w:rFonts w:ascii="Times New Roman" w:hAnsi="Times New Roman" w:cs="Times New Roman"/>
          <w:b/>
          <w:bCs/>
          <w:lang w:val="ro-RO"/>
        </w:rPr>
        <w:t>2S77 - Rezervor de inmagazinare</w:t>
      </w:r>
      <w:r w:rsidRPr="00CF6D0E">
        <w:rPr>
          <w:rFonts w:ascii="Times New Roman" w:hAnsi="Times New Roman" w:cs="Times New Roman"/>
          <w:lang w:val="ro-RO"/>
        </w:rPr>
        <w:t>: Regiune mai dezvoltata - Țintă: 23,00 bucati</w:t>
      </w:r>
    </w:p>
    <w:p w14:paraId="56C4373F" w14:textId="77777777" w:rsidR="00E77FF4" w:rsidRPr="00CF6D0E" w:rsidRDefault="00E77FF4" w:rsidP="00CF6D0E">
      <w:pPr>
        <w:pStyle w:val="ListParagraph"/>
        <w:widowControl w:val="0"/>
        <w:numPr>
          <w:ilvl w:val="0"/>
          <w:numId w:val="8"/>
        </w:numPr>
        <w:spacing w:after="0" w:line="312" w:lineRule="auto"/>
        <w:jc w:val="both"/>
        <w:rPr>
          <w:rFonts w:ascii="Times New Roman" w:hAnsi="Times New Roman" w:cs="Times New Roman"/>
          <w:lang w:val="ro-RO"/>
        </w:rPr>
      </w:pPr>
      <w:r w:rsidRPr="00CF6D0E">
        <w:rPr>
          <w:rFonts w:ascii="Times New Roman" w:hAnsi="Times New Roman" w:cs="Times New Roman"/>
          <w:lang w:val="ro-RO"/>
        </w:rPr>
        <w:t>Statie de pompare: Regiune mai dezvoltata - Țintă: 25,00 bucati</w:t>
      </w:r>
    </w:p>
    <w:p w14:paraId="40884820" w14:textId="77777777" w:rsidR="00E77FF4" w:rsidRPr="00CF6D0E" w:rsidRDefault="00E77FF4" w:rsidP="00CF6D0E">
      <w:pPr>
        <w:pStyle w:val="ListParagraph"/>
        <w:widowControl w:val="0"/>
        <w:numPr>
          <w:ilvl w:val="0"/>
          <w:numId w:val="8"/>
        </w:numPr>
        <w:spacing w:after="0" w:line="312" w:lineRule="auto"/>
        <w:jc w:val="both"/>
        <w:rPr>
          <w:rFonts w:ascii="Times New Roman" w:hAnsi="Times New Roman" w:cs="Times New Roman"/>
          <w:lang w:val="ro-RO"/>
        </w:rPr>
      </w:pPr>
      <w:r w:rsidRPr="00CF6D0E">
        <w:rPr>
          <w:rFonts w:ascii="Times New Roman" w:hAnsi="Times New Roman" w:cs="Times New Roman"/>
          <w:lang w:val="ro-RO"/>
        </w:rPr>
        <w:lastRenderedPageBreak/>
        <w:t>Statie de pompare apa uzata menajera: Regiune mai dezvoltata - Țintă: 291,00 bucati</w:t>
      </w:r>
    </w:p>
    <w:p w14:paraId="4743BE1B" w14:textId="77777777" w:rsidR="00E77FF4" w:rsidRPr="00CF6D0E" w:rsidRDefault="00E77FF4" w:rsidP="00CF6D0E">
      <w:pPr>
        <w:widowControl w:val="0"/>
        <w:spacing w:after="0" w:line="312" w:lineRule="auto"/>
        <w:jc w:val="both"/>
        <w:rPr>
          <w:rFonts w:ascii="Times New Roman" w:hAnsi="Times New Roman" w:cs="Times New Roman"/>
          <w:lang w:val="ro-RO"/>
        </w:rPr>
      </w:pPr>
      <w:r w:rsidRPr="00CF6D0E">
        <w:rPr>
          <w:rFonts w:ascii="Times New Roman" w:hAnsi="Times New Roman" w:cs="Times New Roman"/>
          <w:b/>
          <w:bCs/>
          <w:lang w:val="ro-RO"/>
        </w:rPr>
        <w:t>2S78 - Statii de tratare ap</w:t>
      </w:r>
      <w:r w:rsidRPr="00CF6D0E">
        <w:rPr>
          <w:rFonts w:ascii="Times New Roman" w:hAnsi="Times New Roman" w:cs="Times New Roman"/>
          <w:lang w:val="ro-RO"/>
        </w:rPr>
        <w:t>a: Regiune mai dezvoltata - Țintă: 26,00 bucati</w:t>
      </w:r>
    </w:p>
    <w:p w14:paraId="0CE0DA6B" w14:textId="77777777" w:rsidR="00E77FF4" w:rsidRDefault="00E77FF4" w:rsidP="00E77FF4">
      <w:pPr>
        <w:widowControl w:val="0"/>
        <w:spacing w:after="0"/>
        <w:jc w:val="both"/>
        <w:rPr>
          <w:rFonts w:ascii="Times New Roman" w:hAnsi="Times New Roman" w:cs="Times New Roman"/>
          <w:b/>
          <w:bCs/>
          <w:lang w:val="ro-RO"/>
        </w:rPr>
      </w:pPr>
    </w:p>
    <w:p w14:paraId="6C2803F5" w14:textId="44A83CFC" w:rsidR="00D94355" w:rsidRPr="00CF6D0E" w:rsidRDefault="00D94355" w:rsidP="00CF6D0E">
      <w:pPr>
        <w:spacing w:after="0" w:line="244" w:lineRule="exact"/>
        <w:ind w:left="20"/>
        <w:rPr>
          <w:rFonts w:ascii="Times New Roman" w:hAnsi="Times New Roman" w:cs="Times New Roman"/>
          <w:b/>
          <w:sz w:val="22"/>
          <w:lang w:val="ro-RO"/>
        </w:rPr>
      </w:pPr>
      <w:bookmarkStart w:id="0" w:name="_Hlk207717599"/>
      <w:bookmarkStart w:id="1" w:name="_Hlk207717600"/>
      <w:bookmarkStart w:id="2" w:name="_Hlk207717601"/>
      <w:bookmarkStart w:id="3" w:name="_Hlk207717602"/>
      <w:r w:rsidRPr="00CF6D0E">
        <w:rPr>
          <w:rFonts w:ascii="Times New Roman" w:hAnsi="Times New Roman" w:cs="Times New Roman"/>
          <w:b/>
          <w:sz w:val="22"/>
          <w:lang w:val="ro-RO"/>
        </w:rPr>
        <w:t>Structura</w:t>
      </w:r>
      <w:r w:rsidRPr="00CF6D0E">
        <w:rPr>
          <w:rFonts w:ascii="Times New Roman" w:hAnsi="Times New Roman" w:cs="Times New Roman"/>
          <w:b/>
          <w:spacing w:val="-3"/>
          <w:sz w:val="22"/>
          <w:lang w:val="ro-RO"/>
        </w:rPr>
        <w:t xml:space="preserve"> </w:t>
      </w:r>
      <w:r w:rsidRPr="00CF6D0E">
        <w:rPr>
          <w:rFonts w:ascii="Times New Roman" w:hAnsi="Times New Roman" w:cs="Times New Roman"/>
          <w:b/>
          <w:sz w:val="22"/>
          <w:lang w:val="ro-RO"/>
        </w:rPr>
        <w:t>de</w:t>
      </w:r>
      <w:r w:rsidRPr="00CF6D0E">
        <w:rPr>
          <w:rFonts w:ascii="Times New Roman" w:hAnsi="Times New Roman" w:cs="Times New Roman"/>
          <w:b/>
          <w:spacing w:val="-2"/>
          <w:sz w:val="22"/>
          <w:lang w:val="ro-RO"/>
        </w:rPr>
        <w:t xml:space="preserve"> </w:t>
      </w:r>
      <w:r w:rsidRPr="00CF6D0E">
        <w:rPr>
          <w:rFonts w:ascii="Times New Roman" w:hAnsi="Times New Roman" w:cs="Times New Roman"/>
          <w:b/>
          <w:sz w:val="22"/>
          <w:lang w:val="ro-RO"/>
        </w:rPr>
        <w:t>ﬁnantare</w:t>
      </w:r>
      <w:r w:rsidRPr="00CF6D0E">
        <w:rPr>
          <w:rFonts w:ascii="Times New Roman" w:hAnsi="Times New Roman" w:cs="Times New Roman"/>
          <w:b/>
          <w:spacing w:val="-2"/>
          <w:sz w:val="22"/>
          <w:lang w:val="ro-RO"/>
        </w:rPr>
        <w:t xml:space="preserve"> </w:t>
      </w:r>
      <w:r w:rsidRPr="00CF6D0E">
        <w:rPr>
          <w:rFonts w:ascii="Times New Roman" w:hAnsi="Times New Roman" w:cs="Times New Roman"/>
          <w:b/>
          <w:spacing w:val="-3"/>
          <w:sz w:val="22"/>
          <w:lang w:val="ro-RO"/>
        </w:rPr>
        <w:t xml:space="preserve"> </w:t>
      </w:r>
      <w:r w:rsidRPr="00CF6D0E">
        <w:rPr>
          <w:rFonts w:ascii="Times New Roman" w:hAnsi="Times New Roman" w:cs="Times New Roman"/>
          <w:b/>
          <w:sz w:val="22"/>
          <w:lang w:val="ro-RO"/>
        </w:rPr>
        <w:t>proiect</w:t>
      </w:r>
      <w:r w:rsidRPr="00CF6D0E">
        <w:rPr>
          <w:rFonts w:ascii="Times New Roman" w:hAnsi="Times New Roman" w:cs="Times New Roman"/>
          <w:b/>
          <w:spacing w:val="-4"/>
          <w:sz w:val="22"/>
          <w:lang w:val="ro-RO"/>
        </w:rPr>
        <w:t xml:space="preserve"> </w:t>
      </w:r>
      <w:r w:rsidRPr="00CF6D0E">
        <w:rPr>
          <w:rFonts w:ascii="Times New Roman" w:hAnsi="Times New Roman" w:cs="Times New Roman"/>
          <w:b/>
          <w:sz w:val="22"/>
          <w:lang w:val="ro-RO"/>
        </w:rPr>
        <w:t>(FAZA</w:t>
      </w:r>
      <w:r w:rsidRPr="00CF6D0E">
        <w:rPr>
          <w:rFonts w:ascii="Times New Roman" w:hAnsi="Times New Roman" w:cs="Times New Roman"/>
          <w:b/>
          <w:spacing w:val="-2"/>
          <w:sz w:val="22"/>
          <w:lang w:val="ro-RO"/>
        </w:rPr>
        <w:t xml:space="preserve"> </w:t>
      </w:r>
      <w:r w:rsidRPr="00CF6D0E">
        <w:rPr>
          <w:rFonts w:ascii="Times New Roman" w:hAnsi="Times New Roman" w:cs="Times New Roman"/>
          <w:b/>
          <w:sz w:val="22"/>
          <w:lang w:val="ro-RO"/>
        </w:rPr>
        <w:t>I</w:t>
      </w:r>
      <w:bookmarkEnd w:id="0"/>
      <w:bookmarkEnd w:id="1"/>
      <w:bookmarkEnd w:id="2"/>
      <w:bookmarkEnd w:id="3"/>
      <w:r w:rsidR="00387A41" w:rsidRPr="00CF6D0E">
        <w:rPr>
          <w:rFonts w:ascii="Times New Roman" w:hAnsi="Times New Roman" w:cs="Times New Roman"/>
          <w:b/>
          <w:sz w:val="22"/>
          <w:lang w:val="ro-RO"/>
        </w:rPr>
        <w:t>I</w:t>
      </w:r>
      <w:r w:rsidRPr="00CF6D0E">
        <w:rPr>
          <w:rFonts w:ascii="Times New Roman" w:hAnsi="Times New Roman" w:cs="Times New Roman"/>
          <w:b/>
          <w:sz w:val="22"/>
          <w:lang w:val="ro-RO"/>
        </w:rPr>
        <w:t>)</w:t>
      </w:r>
    </w:p>
    <w:tbl>
      <w:tblPr>
        <w:tblW w:w="9710" w:type="dxa"/>
        <w:tblLook w:val="04A0" w:firstRow="1" w:lastRow="0" w:firstColumn="1" w:lastColumn="0" w:noHBand="0" w:noVBand="1"/>
      </w:tblPr>
      <w:tblGrid>
        <w:gridCol w:w="1319"/>
        <w:gridCol w:w="1476"/>
        <w:gridCol w:w="1590"/>
        <w:gridCol w:w="1417"/>
        <w:gridCol w:w="1276"/>
        <w:gridCol w:w="1377"/>
        <w:gridCol w:w="1255"/>
      </w:tblGrid>
      <w:tr w:rsidR="00CF6D0E" w:rsidRPr="00794B0A" w14:paraId="41C32AD5" w14:textId="77777777" w:rsidTr="00CF6D0E">
        <w:trPr>
          <w:trHeight w:val="211"/>
        </w:trPr>
        <w:tc>
          <w:tcPr>
            <w:tcW w:w="1319" w:type="dxa"/>
            <w:vMerge w:val="restart"/>
            <w:tcBorders>
              <w:top w:val="single" w:sz="8" w:space="0" w:color="auto"/>
              <w:left w:val="single" w:sz="8" w:space="0" w:color="auto"/>
              <w:bottom w:val="single" w:sz="8" w:space="0" w:color="auto"/>
              <w:right w:val="single" w:sz="8" w:space="0" w:color="auto"/>
            </w:tcBorders>
            <w:shd w:val="clear" w:color="000000" w:fill="DAE9F7"/>
            <w:vAlign w:val="center"/>
            <w:hideMark/>
          </w:tcPr>
          <w:p w14:paraId="2362A753" w14:textId="77777777" w:rsidR="00CF6D0E" w:rsidRPr="00794B0A" w:rsidRDefault="00CF6D0E" w:rsidP="00794B0A">
            <w:pPr>
              <w:spacing w:after="0" w:line="240" w:lineRule="auto"/>
              <w:jc w:val="center"/>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Extindere rețea apă-canal</w:t>
            </w:r>
          </w:p>
        </w:tc>
        <w:tc>
          <w:tcPr>
            <w:tcW w:w="1476" w:type="dxa"/>
            <w:vMerge w:val="restart"/>
            <w:tcBorders>
              <w:top w:val="single" w:sz="8" w:space="0" w:color="auto"/>
              <w:left w:val="nil"/>
              <w:bottom w:val="nil"/>
              <w:right w:val="single" w:sz="8" w:space="0" w:color="auto"/>
            </w:tcBorders>
            <w:shd w:val="clear" w:color="000000" w:fill="DAE9F7"/>
            <w:vAlign w:val="center"/>
            <w:hideMark/>
          </w:tcPr>
          <w:p w14:paraId="09EE70E7" w14:textId="77777777" w:rsidR="00CF6D0E" w:rsidRPr="00CF6D0E" w:rsidRDefault="00CF6D0E" w:rsidP="00794B0A">
            <w:pPr>
              <w:spacing w:after="0" w:line="240" w:lineRule="auto"/>
              <w:jc w:val="center"/>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 Valori  </w:t>
            </w:r>
          </w:p>
          <w:p w14:paraId="1B6DF9E7" w14:textId="77777777" w:rsidR="00CF6D0E" w:rsidRPr="00CF6D0E" w:rsidRDefault="00CF6D0E" w:rsidP="00794B0A">
            <w:pPr>
              <w:spacing w:after="0" w:line="240" w:lineRule="auto"/>
              <w:jc w:val="center"/>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 (fără TVA) </w:t>
            </w:r>
          </w:p>
          <w:p w14:paraId="1AB9EF26" w14:textId="6518DE4B" w:rsidR="00CF6D0E" w:rsidRPr="00794B0A" w:rsidRDefault="00CF6D0E" w:rsidP="00794B0A">
            <w:pPr>
              <w:spacing w:after="0" w:line="240" w:lineRule="auto"/>
              <w:jc w:val="center"/>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color w:val="000000"/>
                <w:kern w:val="0"/>
                <w:sz w:val="18"/>
                <w:szCs w:val="18"/>
                <w:lang w:val="ro-RO"/>
                <w14:ligatures w14:val="none"/>
              </w:rPr>
              <w:t xml:space="preserve"> mii lei </w:t>
            </w:r>
          </w:p>
        </w:tc>
        <w:tc>
          <w:tcPr>
            <w:tcW w:w="6915" w:type="dxa"/>
            <w:gridSpan w:val="5"/>
            <w:tcBorders>
              <w:top w:val="single" w:sz="8" w:space="0" w:color="auto"/>
              <w:left w:val="single" w:sz="8" w:space="0" w:color="auto"/>
              <w:bottom w:val="single" w:sz="8" w:space="0" w:color="auto"/>
              <w:right w:val="single" w:sz="8" w:space="0" w:color="000000"/>
            </w:tcBorders>
            <w:shd w:val="clear" w:color="000000" w:fill="DAE9F7"/>
            <w:vAlign w:val="center"/>
            <w:hideMark/>
          </w:tcPr>
          <w:p w14:paraId="6A185008" w14:textId="77777777" w:rsidR="00CF6D0E" w:rsidRPr="00794B0A" w:rsidRDefault="00CF6D0E" w:rsidP="00794B0A">
            <w:pPr>
              <w:spacing w:after="0" w:line="240" w:lineRule="auto"/>
              <w:jc w:val="center"/>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 Surse de finațare </w:t>
            </w:r>
          </w:p>
        </w:tc>
      </w:tr>
      <w:tr w:rsidR="00CF6D0E" w:rsidRPr="00794B0A" w14:paraId="2B389774" w14:textId="77777777" w:rsidTr="00CF6D0E">
        <w:trPr>
          <w:trHeight w:val="336"/>
        </w:trPr>
        <w:tc>
          <w:tcPr>
            <w:tcW w:w="1319" w:type="dxa"/>
            <w:vMerge/>
            <w:tcBorders>
              <w:top w:val="single" w:sz="8" w:space="0" w:color="auto"/>
              <w:left w:val="single" w:sz="8" w:space="0" w:color="auto"/>
              <w:bottom w:val="single" w:sz="8" w:space="0" w:color="000000"/>
              <w:right w:val="single" w:sz="8" w:space="0" w:color="auto"/>
            </w:tcBorders>
            <w:vAlign w:val="center"/>
            <w:hideMark/>
          </w:tcPr>
          <w:p w14:paraId="2A4B6222" w14:textId="77777777" w:rsidR="00CF6D0E" w:rsidRPr="00794B0A" w:rsidRDefault="00CF6D0E" w:rsidP="00794B0A">
            <w:pPr>
              <w:spacing w:after="0" w:line="240" w:lineRule="auto"/>
              <w:rPr>
                <w:rFonts w:ascii="Times New Roman" w:eastAsia="Times New Roman" w:hAnsi="Times New Roman" w:cs="Times New Roman"/>
                <w:b/>
                <w:bCs/>
                <w:color w:val="000000"/>
                <w:kern w:val="0"/>
                <w:sz w:val="18"/>
                <w:szCs w:val="18"/>
                <w14:ligatures w14:val="none"/>
              </w:rPr>
            </w:pPr>
          </w:p>
        </w:tc>
        <w:tc>
          <w:tcPr>
            <w:tcW w:w="1476" w:type="dxa"/>
            <w:vMerge/>
            <w:tcBorders>
              <w:left w:val="nil"/>
              <w:bottom w:val="single" w:sz="8" w:space="0" w:color="auto"/>
              <w:right w:val="single" w:sz="8" w:space="0" w:color="auto"/>
            </w:tcBorders>
            <w:shd w:val="clear" w:color="000000" w:fill="DAE9F7"/>
            <w:vAlign w:val="center"/>
            <w:hideMark/>
          </w:tcPr>
          <w:p w14:paraId="29007424" w14:textId="118112C0" w:rsidR="00CF6D0E" w:rsidRPr="00794B0A" w:rsidRDefault="00CF6D0E" w:rsidP="00794B0A">
            <w:pPr>
              <w:spacing w:after="0" w:line="240" w:lineRule="auto"/>
              <w:jc w:val="center"/>
              <w:rPr>
                <w:rFonts w:ascii="Times New Roman" w:eastAsia="Times New Roman" w:hAnsi="Times New Roman" w:cs="Times New Roman"/>
                <w:color w:val="000000"/>
                <w:kern w:val="0"/>
                <w:sz w:val="18"/>
                <w:szCs w:val="18"/>
                <w14:ligatures w14:val="none"/>
              </w:rPr>
            </w:pPr>
          </w:p>
        </w:tc>
        <w:tc>
          <w:tcPr>
            <w:tcW w:w="1590" w:type="dxa"/>
            <w:tcBorders>
              <w:top w:val="single" w:sz="8" w:space="0" w:color="auto"/>
              <w:left w:val="nil"/>
              <w:bottom w:val="single" w:sz="8" w:space="0" w:color="auto"/>
              <w:right w:val="single" w:sz="8" w:space="0" w:color="auto"/>
            </w:tcBorders>
            <w:shd w:val="clear" w:color="000000" w:fill="DAE9F7"/>
            <w:vAlign w:val="center"/>
            <w:hideMark/>
          </w:tcPr>
          <w:p w14:paraId="11744EFD" w14:textId="77777777" w:rsidR="00CF6D0E" w:rsidRPr="00794B0A" w:rsidRDefault="00CF6D0E" w:rsidP="00794B0A">
            <w:pPr>
              <w:spacing w:after="0" w:line="240" w:lineRule="auto"/>
              <w:jc w:val="center"/>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 Garant UE </w:t>
            </w:r>
          </w:p>
        </w:tc>
        <w:tc>
          <w:tcPr>
            <w:tcW w:w="1417" w:type="dxa"/>
            <w:tcBorders>
              <w:top w:val="single" w:sz="8" w:space="0" w:color="auto"/>
              <w:left w:val="nil"/>
              <w:bottom w:val="single" w:sz="8" w:space="0" w:color="auto"/>
              <w:right w:val="single" w:sz="8" w:space="0" w:color="auto"/>
            </w:tcBorders>
            <w:shd w:val="clear" w:color="000000" w:fill="DAE9F7"/>
            <w:vAlign w:val="center"/>
            <w:hideMark/>
          </w:tcPr>
          <w:p w14:paraId="36070572" w14:textId="77777777" w:rsidR="00CF6D0E" w:rsidRPr="00794B0A" w:rsidRDefault="00CF6D0E" w:rsidP="00794B0A">
            <w:pPr>
              <w:spacing w:after="0" w:line="240" w:lineRule="auto"/>
              <w:jc w:val="center"/>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 Credit </w:t>
            </w:r>
          </w:p>
        </w:tc>
        <w:tc>
          <w:tcPr>
            <w:tcW w:w="1276" w:type="dxa"/>
            <w:tcBorders>
              <w:top w:val="single" w:sz="8" w:space="0" w:color="auto"/>
              <w:left w:val="nil"/>
              <w:bottom w:val="single" w:sz="8" w:space="0" w:color="auto"/>
              <w:right w:val="single" w:sz="8" w:space="0" w:color="auto"/>
            </w:tcBorders>
            <w:shd w:val="clear" w:color="000000" w:fill="DAE9F7"/>
            <w:vAlign w:val="center"/>
            <w:hideMark/>
          </w:tcPr>
          <w:p w14:paraId="4668AF78" w14:textId="77777777" w:rsidR="00CF6D0E" w:rsidRPr="00794B0A" w:rsidRDefault="00CF6D0E" w:rsidP="00794B0A">
            <w:pPr>
              <w:spacing w:after="0" w:line="240" w:lineRule="auto"/>
              <w:jc w:val="center"/>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 Surse proprii </w:t>
            </w:r>
          </w:p>
        </w:tc>
        <w:tc>
          <w:tcPr>
            <w:tcW w:w="1377" w:type="dxa"/>
            <w:tcBorders>
              <w:top w:val="single" w:sz="8" w:space="0" w:color="auto"/>
              <w:left w:val="nil"/>
              <w:bottom w:val="single" w:sz="8" w:space="0" w:color="auto"/>
              <w:right w:val="single" w:sz="8" w:space="0" w:color="auto"/>
            </w:tcBorders>
            <w:shd w:val="clear" w:color="000000" w:fill="DAE9F7"/>
            <w:vAlign w:val="center"/>
            <w:hideMark/>
          </w:tcPr>
          <w:p w14:paraId="39206C41" w14:textId="77777777" w:rsidR="00CF6D0E" w:rsidRPr="00794B0A" w:rsidRDefault="00CF6D0E" w:rsidP="00794B0A">
            <w:pPr>
              <w:spacing w:after="0" w:line="240" w:lineRule="auto"/>
              <w:jc w:val="center"/>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 Buget de Stat </w:t>
            </w:r>
          </w:p>
        </w:tc>
        <w:tc>
          <w:tcPr>
            <w:tcW w:w="1255" w:type="dxa"/>
            <w:tcBorders>
              <w:top w:val="single" w:sz="8" w:space="0" w:color="auto"/>
              <w:left w:val="nil"/>
              <w:bottom w:val="single" w:sz="8" w:space="0" w:color="auto"/>
              <w:right w:val="single" w:sz="8" w:space="0" w:color="auto"/>
            </w:tcBorders>
            <w:shd w:val="clear" w:color="000000" w:fill="DAE9F7"/>
            <w:vAlign w:val="center"/>
            <w:hideMark/>
          </w:tcPr>
          <w:p w14:paraId="2BE5D567" w14:textId="77777777" w:rsidR="00CF6D0E" w:rsidRPr="00794B0A" w:rsidRDefault="00CF6D0E" w:rsidP="00794B0A">
            <w:pPr>
              <w:spacing w:after="0" w:line="240" w:lineRule="auto"/>
              <w:jc w:val="center"/>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 Buget local </w:t>
            </w:r>
          </w:p>
        </w:tc>
      </w:tr>
      <w:tr w:rsidR="00CF6D0E" w:rsidRPr="00794B0A" w14:paraId="3837F86B" w14:textId="77777777" w:rsidTr="00CF6D0E">
        <w:trPr>
          <w:trHeight w:val="674"/>
        </w:trPr>
        <w:tc>
          <w:tcPr>
            <w:tcW w:w="1319" w:type="dxa"/>
            <w:tcBorders>
              <w:top w:val="nil"/>
              <w:left w:val="single" w:sz="8" w:space="0" w:color="auto"/>
              <w:bottom w:val="single" w:sz="8" w:space="0" w:color="auto"/>
              <w:right w:val="single" w:sz="8" w:space="0" w:color="auto"/>
            </w:tcBorders>
            <w:shd w:val="clear" w:color="000000" w:fill="E8E8E8"/>
            <w:vAlign w:val="center"/>
            <w:hideMark/>
          </w:tcPr>
          <w:p w14:paraId="3516F81C" w14:textId="77777777"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Total valoare proiect, din care:</w:t>
            </w:r>
          </w:p>
        </w:tc>
        <w:tc>
          <w:tcPr>
            <w:tcW w:w="1476" w:type="dxa"/>
            <w:tcBorders>
              <w:top w:val="nil"/>
              <w:left w:val="nil"/>
              <w:bottom w:val="single" w:sz="8" w:space="0" w:color="auto"/>
              <w:right w:val="single" w:sz="8" w:space="0" w:color="auto"/>
            </w:tcBorders>
            <w:shd w:val="clear" w:color="000000" w:fill="E8E8E8"/>
            <w:vAlign w:val="center"/>
            <w:hideMark/>
          </w:tcPr>
          <w:p w14:paraId="4D392223" w14:textId="60785D93"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1,531,107,601.62 </w:t>
            </w:r>
          </w:p>
        </w:tc>
        <w:tc>
          <w:tcPr>
            <w:tcW w:w="1590" w:type="dxa"/>
            <w:tcBorders>
              <w:top w:val="nil"/>
              <w:left w:val="nil"/>
              <w:bottom w:val="single" w:sz="8" w:space="0" w:color="auto"/>
              <w:right w:val="single" w:sz="8" w:space="0" w:color="auto"/>
            </w:tcBorders>
            <w:shd w:val="clear" w:color="000000" w:fill="E8E8E8"/>
            <w:vAlign w:val="center"/>
            <w:hideMark/>
          </w:tcPr>
          <w:p w14:paraId="23DF7BFF" w14:textId="08A67C56"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484,297,643.32 </w:t>
            </w:r>
          </w:p>
        </w:tc>
        <w:tc>
          <w:tcPr>
            <w:tcW w:w="1417" w:type="dxa"/>
            <w:tcBorders>
              <w:top w:val="nil"/>
              <w:left w:val="nil"/>
              <w:bottom w:val="single" w:sz="8" w:space="0" w:color="auto"/>
              <w:right w:val="single" w:sz="8" w:space="0" w:color="auto"/>
            </w:tcBorders>
            <w:shd w:val="clear" w:color="000000" w:fill="E8E8E8"/>
            <w:vAlign w:val="center"/>
            <w:hideMark/>
          </w:tcPr>
          <w:p w14:paraId="4FA4B2F6" w14:textId="3399D827"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p>
        </w:tc>
        <w:tc>
          <w:tcPr>
            <w:tcW w:w="1276" w:type="dxa"/>
            <w:tcBorders>
              <w:top w:val="nil"/>
              <w:left w:val="nil"/>
              <w:bottom w:val="single" w:sz="8" w:space="0" w:color="auto"/>
              <w:right w:val="single" w:sz="8" w:space="0" w:color="auto"/>
            </w:tcBorders>
            <w:shd w:val="clear" w:color="000000" w:fill="E8E8E8"/>
            <w:vAlign w:val="center"/>
            <w:hideMark/>
          </w:tcPr>
          <w:p w14:paraId="7C727296" w14:textId="3F9D07B3"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77,281,538.83 </w:t>
            </w:r>
          </w:p>
        </w:tc>
        <w:tc>
          <w:tcPr>
            <w:tcW w:w="1377" w:type="dxa"/>
            <w:tcBorders>
              <w:top w:val="nil"/>
              <w:left w:val="nil"/>
              <w:bottom w:val="single" w:sz="8" w:space="0" w:color="auto"/>
              <w:right w:val="single" w:sz="8" w:space="0" w:color="auto"/>
            </w:tcBorders>
            <w:shd w:val="clear" w:color="000000" w:fill="E8E8E8"/>
            <w:vAlign w:val="center"/>
            <w:hideMark/>
          </w:tcPr>
          <w:p w14:paraId="4DA2E1EC" w14:textId="7C0FFBC0"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702,231,582.85 </w:t>
            </w:r>
          </w:p>
        </w:tc>
        <w:tc>
          <w:tcPr>
            <w:tcW w:w="1255" w:type="dxa"/>
            <w:tcBorders>
              <w:top w:val="nil"/>
              <w:left w:val="nil"/>
              <w:bottom w:val="single" w:sz="8" w:space="0" w:color="auto"/>
              <w:right w:val="single" w:sz="8" w:space="0" w:color="auto"/>
            </w:tcBorders>
            <w:shd w:val="clear" w:color="000000" w:fill="E8E8E8"/>
            <w:vAlign w:val="center"/>
            <w:hideMark/>
          </w:tcPr>
          <w:p w14:paraId="7CC1F744" w14:textId="3EFFC7D6"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24,214,882.14 </w:t>
            </w:r>
          </w:p>
        </w:tc>
      </w:tr>
      <w:tr w:rsidR="00CF6D0E" w:rsidRPr="00794B0A" w14:paraId="0EA33A6C" w14:textId="77777777" w:rsidTr="00CF6D0E">
        <w:trPr>
          <w:trHeight w:val="529"/>
        </w:trPr>
        <w:tc>
          <w:tcPr>
            <w:tcW w:w="1319" w:type="dxa"/>
            <w:tcBorders>
              <w:top w:val="nil"/>
              <w:left w:val="single" w:sz="8" w:space="0" w:color="auto"/>
              <w:bottom w:val="single" w:sz="8" w:space="0" w:color="auto"/>
              <w:right w:val="single" w:sz="8" w:space="0" w:color="auto"/>
            </w:tcBorders>
            <w:vAlign w:val="center"/>
            <w:hideMark/>
          </w:tcPr>
          <w:p w14:paraId="5641FF81" w14:textId="77777777"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Plătit până la 31.12.2024</w:t>
            </w:r>
          </w:p>
        </w:tc>
        <w:tc>
          <w:tcPr>
            <w:tcW w:w="1476" w:type="dxa"/>
            <w:tcBorders>
              <w:top w:val="nil"/>
              <w:left w:val="nil"/>
              <w:bottom w:val="single" w:sz="8" w:space="0" w:color="auto"/>
              <w:right w:val="single" w:sz="8" w:space="0" w:color="auto"/>
            </w:tcBorders>
            <w:vAlign w:val="center"/>
            <w:hideMark/>
          </w:tcPr>
          <w:p w14:paraId="3CF3E183" w14:textId="331F974B"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228,499,072.35 </w:t>
            </w:r>
          </w:p>
        </w:tc>
        <w:tc>
          <w:tcPr>
            <w:tcW w:w="1590" w:type="dxa"/>
            <w:tcBorders>
              <w:top w:val="nil"/>
              <w:left w:val="nil"/>
              <w:bottom w:val="single" w:sz="8" w:space="0" w:color="auto"/>
              <w:right w:val="single" w:sz="8" w:space="0" w:color="auto"/>
            </w:tcBorders>
            <w:vAlign w:val="center"/>
            <w:hideMark/>
          </w:tcPr>
          <w:p w14:paraId="731F3CC6" w14:textId="323FEC65"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91,399,628.94 </w:t>
            </w:r>
          </w:p>
        </w:tc>
        <w:tc>
          <w:tcPr>
            <w:tcW w:w="1417" w:type="dxa"/>
            <w:tcBorders>
              <w:top w:val="nil"/>
              <w:left w:val="nil"/>
              <w:bottom w:val="single" w:sz="8" w:space="0" w:color="auto"/>
              <w:right w:val="single" w:sz="8" w:space="0" w:color="auto"/>
            </w:tcBorders>
            <w:vAlign w:val="center"/>
            <w:hideMark/>
          </w:tcPr>
          <w:p w14:paraId="106B5E23" w14:textId="77777777"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14:ligatures w14:val="none"/>
              </w:rPr>
              <w:t> </w:t>
            </w:r>
          </w:p>
        </w:tc>
        <w:tc>
          <w:tcPr>
            <w:tcW w:w="1276" w:type="dxa"/>
            <w:tcBorders>
              <w:top w:val="nil"/>
              <w:left w:val="nil"/>
              <w:bottom w:val="single" w:sz="8" w:space="0" w:color="auto"/>
              <w:right w:val="single" w:sz="8" w:space="0" w:color="auto"/>
            </w:tcBorders>
            <w:vAlign w:val="center"/>
            <w:hideMark/>
          </w:tcPr>
          <w:p w14:paraId="02070EE7" w14:textId="77777777"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14:ligatures w14:val="none"/>
              </w:rPr>
              <w:t> </w:t>
            </w:r>
          </w:p>
        </w:tc>
        <w:tc>
          <w:tcPr>
            <w:tcW w:w="1377" w:type="dxa"/>
            <w:tcBorders>
              <w:top w:val="nil"/>
              <w:left w:val="nil"/>
              <w:bottom w:val="single" w:sz="8" w:space="0" w:color="auto"/>
              <w:right w:val="single" w:sz="8" w:space="0" w:color="auto"/>
            </w:tcBorders>
            <w:vAlign w:val="center"/>
            <w:hideMark/>
          </w:tcPr>
          <w:p w14:paraId="63D37182" w14:textId="1EFA3706"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132,529,461.96 </w:t>
            </w:r>
          </w:p>
        </w:tc>
        <w:tc>
          <w:tcPr>
            <w:tcW w:w="1255" w:type="dxa"/>
            <w:tcBorders>
              <w:top w:val="nil"/>
              <w:left w:val="nil"/>
              <w:bottom w:val="single" w:sz="8" w:space="0" w:color="auto"/>
              <w:right w:val="single" w:sz="8" w:space="0" w:color="auto"/>
            </w:tcBorders>
            <w:vAlign w:val="center"/>
            <w:hideMark/>
          </w:tcPr>
          <w:p w14:paraId="41B66DE8" w14:textId="47C9BD03"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4,569,981.45 </w:t>
            </w:r>
          </w:p>
        </w:tc>
      </w:tr>
      <w:tr w:rsidR="00CF6D0E" w:rsidRPr="00794B0A" w14:paraId="68754446" w14:textId="77777777" w:rsidTr="00CF6D0E">
        <w:trPr>
          <w:trHeight w:val="336"/>
        </w:trPr>
        <w:tc>
          <w:tcPr>
            <w:tcW w:w="1319" w:type="dxa"/>
            <w:tcBorders>
              <w:top w:val="nil"/>
              <w:left w:val="single" w:sz="8" w:space="0" w:color="auto"/>
              <w:bottom w:val="single" w:sz="8" w:space="0" w:color="auto"/>
              <w:right w:val="single" w:sz="8" w:space="0" w:color="auto"/>
            </w:tcBorders>
            <w:vAlign w:val="center"/>
            <w:hideMark/>
          </w:tcPr>
          <w:p w14:paraId="2704EC3F" w14:textId="77777777"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Plătit în ian-iun 2025</w:t>
            </w:r>
          </w:p>
        </w:tc>
        <w:tc>
          <w:tcPr>
            <w:tcW w:w="1476" w:type="dxa"/>
            <w:tcBorders>
              <w:top w:val="nil"/>
              <w:left w:val="nil"/>
              <w:bottom w:val="single" w:sz="8" w:space="0" w:color="auto"/>
              <w:right w:val="single" w:sz="8" w:space="0" w:color="auto"/>
            </w:tcBorders>
            <w:vAlign w:val="center"/>
            <w:hideMark/>
          </w:tcPr>
          <w:p w14:paraId="02E7EA68" w14:textId="58AF0226"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264,103,922.27 </w:t>
            </w:r>
          </w:p>
        </w:tc>
        <w:tc>
          <w:tcPr>
            <w:tcW w:w="1590" w:type="dxa"/>
            <w:tcBorders>
              <w:top w:val="nil"/>
              <w:left w:val="nil"/>
              <w:bottom w:val="single" w:sz="8" w:space="0" w:color="auto"/>
              <w:right w:val="single" w:sz="8" w:space="0" w:color="auto"/>
            </w:tcBorders>
            <w:vAlign w:val="center"/>
            <w:hideMark/>
          </w:tcPr>
          <w:p w14:paraId="16185021" w14:textId="72E0DA0F"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105,641,568.91 </w:t>
            </w:r>
          </w:p>
        </w:tc>
        <w:tc>
          <w:tcPr>
            <w:tcW w:w="1417" w:type="dxa"/>
            <w:tcBorders>
              <w:top w:val="nil"/>
              <w:left w:val="nil"/>
              <w:bottom w:val="single" w:sz="8" w:space="0" w:color="auto"/>
              <w:right w:val="single" w:sz="8" w:space="0" w:color="auto"/>
            </w:tcBorders>
            <w:vAlign w:val="center"/>
            <w:hideMark/>
          </w:tcPr>
          <w:p w14:paraId="3DC6CC3F" w14:textId="77777777"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w:t>
            </w:r>
          </w:p>
        </w:tc>
        <w:tc>
          <w:tcPr>
            <w:tcW w:w="1276" w:type="dxa"/>
            <w:tcBorders>
              <w:top w:val="nil"/>
              <w:left w:val="nil"/>
              <w:bottom w:val="single" w:sz="8" w:space="0" w:color="auto"/>
              <w:right w:val="single" w:sz="8" w:space="0" w:color="auto"/>
            </w:tcBorders>
            <w:vAlign w:val="center"/>
            <w:hideMark/>
          </w:tcPr>
          <w:p w14:paraId="0E965798" w14:textId="77777777"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14:ligatures w14:val="none"/>
              </w:rPr>
              <w:t> </w:t>
            </w:r>
          </w:p>
        </w:tc>
        <w:tc>
          <w:tcPr>
            <w:tcW w:w="1377" w:type="dxa"/>
            <w:tcBorders>
              <w:top w:val="nil"/>
              <w:left w:val="nil"/>
              <w:bottom w:val="single" w:sz="8" w:space="0" w:color="auto"/>
              <w:right w:val="single" w:sz="8" w:space="0" w:color="auto"/>
            </w:tcBorders>
            <w:vAlign w:val="center"/>
            <w:hideMark/>
          </w:tcPr>
          <w:p w14:paraId="38AB195E" w14:textId="32F27E46"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153,180,274.92 </w:t>
            </w:r>
          </w:p>
        </w:tc>
        <w:tc>
          <w:tcPr>
            <w:tcW w:w="1255" w:type="dxa"/>
            <w:tcBorders>
              <w:top w:val="nil"/>
              <w:left w:val="nil"/>
              <w:bottom w:val="single" w:sz="8" w:space="0" w:color="auto"/>
              <w:right w:val="single" w:sz="8" w:space="0" w:color="auto"/>
            </w:tcBorders>
            <w:vAlign w:val="center"/>
            <w:hideMark/>
          </w:tcPr>
          <w:p w14:paraId="16F8F900" w14:textId="1E88B947"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5,282,078.45 </w:t>
            </w:r>
          </w:p>
        </w:tc>
      </w:tr>
      <w:tr w:rsidR="00CF6D0E" w:rsidRPr="00794B0A" w14:paraId="20EB3026" w14:textId="77777777" w:rsidTr="00CF6D0E">
        <w:trPr>
          <w:trHeight w:val="529"/>
        </w:trPr>
        <w:tc>
          <w:tcPr>
            <w:tcW w:w="1319" w:type="dxa"/>
            <w:tcBorders>
              <w:top w:val="nil"/>
              <w:left w:val="single" w:sz="8" w:space="0" w:color="auto"/>
              <w:bottom w:val="single" w:sz="8" w:space="0" w:color="auto"/>
              <w:right w:val="single" w:sz="8" w:space="0" w:color="auto"/>
            </w:tcBorders>
            <w:vAlign w:val="center"/>
            <w:hideMark/>
          </w:tcPr>
          <w:p w14:paraId="75C91202" w14:textId="77777777"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Rămas de plată</w:t>
            </w:r>
          </w:p>
        </w:tc>
        <w:tc>
          <w:tcPr>
            <w:tcW w:w="1476" w:type="dxa"/>
            <w:tcBorders>
              <w:top w:val="nil"/>
              <w:left w:val="nil"/>
              <w:bottom w:val="single" w:sz="8" w:space="0" w:color="auto"/>
              <w:right w:val="single" w:sz="8" w:space="0" w:color="auto"/>
            </w:tcBorders>
            <w:vAlign w:val="center"/>
            <w:hideMark/>
          </w:tcPr>
          <w:p w14:paraId="3DC4DC19" w14:textId="4143EB23"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1,038,504,607.00 </w:t>
            </w:r>
          </w:p>
        </w:tc>
        <w:tc>
          <w:tcPr>
            <w:tcW w:w="1590" w:type="dxa"/>
            <w:tcBorders>
              <w:top w:val="nil"/>
              <w:left w:val="nil"/>
              <w:bottom w:val="single" w:sz="8" w:space="0" w:color="auto"/>
              <w:right w:val="single" w:sz="8" w:space="0" w:color="auto"/>
            </w:tcBorders>
            <w:vAlign w:val="center"/>
            <w:hideMark/>
          </w:tcPr>
          <w:p w14:paraId="443C9136" w14:textId="29C7E387"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287,256,445.47 </w:t>
            </w:r>
          </w:p>
        </w:tc>
        <w:tc>
          <w:tcPr>
            <w:tcW w:w="1417" w:type="dxa"/>
            <w:tcBorders>
              <w:top w:val="nil"/>
              <w:left w:val="nil"/>
              <w:bottom w:val="single" w:sz="8" w:space="0" w:color="auto"/>
              <w:right w:val="single" w:sz="8" w:space="0" w:color="auto"/>
            </w:tcBorders>
            <w:vAlign w:val="center"/>
            <w:hideMark/>
          </w:tcPr>
          <w:p w14:paraId="629B8E32" w14:textId="77777777"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14:ligatures w14:val="none"/>
              </w:rPr>
              <w:t> </w:t>
            </w:r>
          </w:p>
        </w:tc>
        <w:tc>
          <w:tcPr>
            <w:tcW w:w="1276" w:type="dxa"/>
            <w:tcBorders>
              <w:top w:val="nil"/>
              <w:left w:val="nil"/>
              <w:bottom w:val="single" w:sz="8" w:space="0" w:color="auto"/>
              <w:right w:val="single" w:sz="8" w:space="0" w:color="auto"/>
            </w:tcBorders>
            <w:vAlign w:val="center"/>
            <w:hideMark/>
          </w:tcPr>
          <w:p w14:paraId="04AAFC3E" w14:textId="7620D5DB"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77,281,538.83 </w:t>
            </w:r>
          </w:p>
        </w:tc>
        <w:tc>
          <w:tcPr>
            <w:tcW w:w="1377" w:type="dxa"/>
            <w:tcBorders>
              <w:top w:val="nil"/>
              <w:left w:val="nil"/>
              <w:bottom w:val="single" w:sz="8" w:space="0" w:color="auto"/>
              <w:right w:val="single" w:sz="8" w:space="0" w:color="auto"/>
            </w:tcBorders>
            <w:vAlign w:val="center"/>
            <w:hideMark/>
          </w:tcPr>
          <w:p w14:paraId="2E9B9577" w14:textId="5372B360"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416,521,845.97 </w:t>
            </w:r>
          </w:p>
        </w:tc>
        <w:tc>
          <w:tcPr>
            <w:tcW w:w="1255" w:type="dxa"/>
            <w:tcBorders>
              <w:top w:val="nil"/>
              <w:left w:val="nil"/>
              <w:bottom w:val="single" w:sz="8" w:space="0" w:color="auto"/>
              <w:right w:val="single" w:sz="8" w:space="0" w:color="auto"/>
            </w:tcBorders>
            <w:vAlign w:val="center"/>
            <w:hideMark/>
          </w:tcPr>
          <w:p w14:paraId="21C1BFE3" w14:textId="24BE3B7E" w:rsidR="00794B0A" w:rsidRPr="00794B0A" w:rsidRDefault="00794B0A" w:rsidP="00794B0A">
            <w:pPr>
              <w:spacing w:after="0" w:line="240" w:lineRule="auto"/>
              <w:rPr>
                <w:rFonts w:ascii="Times New Roman" w:eastAsia="Times New Roman" w:hAnsi="Times New Roman" w:cs="Times New Roman"/>
                <w:b/>
                <w:bCs/>
                <w:color w:val="000000"/>
                <w:kern w:val="0"/>
                <w:sz w:val="18"/>
                <w:szCs w:val="18"/>
                <w14:ligatures w14:val="none"/>
              </w:rPr>
            </w:pPr>
            <w:r w:rsidRPr="00794B0A">
              <w:rPr>
                <w:rFonts w:ascii="Times New Roman" w:eastAsia="Times New Roman" w:hAnsi="Times New Roman" w:cs="Times New Roman"/>
                <w:b/>
                <w:bCs/>
                <w:color w:val="000000"/>
                <w:kern w:val="0"/>
                <w:sz w:val="18"/>
                <w:szCs w:val="18"/>
                <w:lang w:val="ro-RO"/>
                <w14:ligatures w14:val="none"/>
              </w:rPr>
              <w:t xml:space="preserve">14,362,822.25 </w:t>
            </w:r>
          </w:p>
        </w:tc>
      </w:tr>
    </w:tbl>
    <w:p w14:paraId="4A3C2CA5" w14:textId="77777777" w:rsidR="006D6033" w:rsidRPr="00E77FF4" w:rsidRDefault="006D6033" w:rsidP="00E77FF4">
      <w:pPr>
        <w:widowControl w:val="0"/>
        <w:spacing w:after="0"/>
        <w:jc w:val="both"/>
        <w:rPr>
          <w:rFonts w:ascii="Times New Roman" w:hAnsi="Times New Roman" w:cs="Times New Roman"/>
          <w:b/>
          <w:bCs/>
          <w:lang w:val="ro-RO"/>
        </w:rPr>
      </w:pPr>
    </w:p>
    <w:p w14:paraId="2927EEB9" w14:textId="77777777" w:rsidR="00E77FF4" w:rsidRPr="00E77FF4" w:rsidRDefault="00E77FF4" w:rsidP="00E77FF4">
      <w:pPr>
        <w:widowControl w:val="0"/>
        <w:spacing w:after="0"/>
        <w:jc w:val="both"/>
        <w:rPr>
          <w:rFonts w:ascii="Times New Roman" w:hAnsi="Times New Roman" w:cs="Times New Roman"/>
          <w:b/>
          <w:bCs/>
          <w:lang w:val="ro-RO"/>
        </w:rPr>
      </w:pPr>
      <w:r w:rsidRPr="00E77FF4">
        <w:rPr>
          <w:rFonts w:ascii="Times New Roman" w:hAnsi="Times New Roman" w:cs="Times New Roman"/>
          <w:b/>
          <w:bCs/>
          <w:lang w:val="ro-RO"/>
        </w:rPr>
        <w:t>Grad de realizare</w:t>
      </w:r>
    </w:p>
    <w:tbl>
      <w:tblPr>
        <w:tblStyle w:val="TableGrid"/>
        <w:tblW w:w="0" w:type="auto"/>
        <w:tblInd w:w="107" w:type="dxa"/>
        <w:tblLook w:val="04A0" w:firstRow="1" w:lastRow="0" w:firstColumn="1" w:lastColumn="0" w:noHBand="0" w:noVBand="1"/>
      </w:tblPr>
      <w:tblGrid>
        <w:gridCol w:w="4761"/>
        <w:gridCol w:w="4760"/>
      </w:tblGrid>
      <w:tr w:rsidR="00E77FF4" w:rsidRPr="00E77FF4" w14:paraId="0602FC82" w14:textId="77777777" w:rsidTr="004A7E91">
        <w:tc>
          <w:tcPr>
            <w:tcW w:w="4761" w:type="dxa"/>
          </w:tcPr>
          <w:p w14:paraId="7BFDFD5B" w14:textId="77777777" w:rsidR="00E77FF4" w:rsidRPr="00E77FF4" w:rsidRDefault="00E77FF4" w:rsidP="00E77FF4">
            <w:pPr>
              <w:widowControl w:val="0"/>
              <w:jc w:val="both"/>
              <w:rPr>
                <w:rFonts w:ascii="Times New Roman" w:hAnsi="Times New Roman" w:cs="Times New Roman"/>
                <w:b/>
                <w:lang w:val="ro-RO"/>
              </w:rPr>
            </w:pPr>
            <w:r w:rsidRPr="00E77FF4">
              <w:rPr>
                <w:rFonts w:ascii="Times New Roman" w:hAnsi="Times New Roman" w:cs="Times New Roman"/>
                <w:b/>
                <w:lang w:val="ro-RO"/>
              </w:rPr>
              <w:t>Progres</w:t>
            </w:r>
            <w:r w:rsidRPr="00E77FF4">
              <w:rPr>
                <w:rFonts w:ascii="Times New Roman" w:hAnsi="Times New Roman" w:cs="Times New Roman"/>
                <w:b/>
                <w:spacing w:val="-5"/>
                <w:lang w:val="ro-RO"/>
              </w:rPr>
              <w:t xml:space="preserve"> </w:t>
            </w:r>
            <w:r w:rsidRPr="00E77FF4">
              <w:rPr>
                <w:rFonts w:ascii="Times New Roman" w:hAnsi="Times New Roman" w:cs="Times New Roman"/>
                <w:b/>
                <w:lang w:val="ro-RO"/>
              </w:rPr>
              <w:t>fizic total</w:t>
            </w:r>
            <w:r w:rsidRPr="00E77FF4">
              <w:rPr>
                <w:rFonts w:ascii="Times New Roman" w:hAnsi="Times New Roman" w:cs="Times New Roman"/>
                <w:b/>
                <w:spacing w:val="1"/>
                <w:lang w:val="ro-RO"/>
              </w:rPr>
              <w:t xml:space="preserve"> </w:t>
            </w:r>
            <w:r w:rsidRPr="00E77FF4">
              <w:rPr>
                <w:rFonts w:ascii="Times New Roman" w:hAnsi="Times New Roman" w:cs="Times New Roman"/>
                <w:b/>
                <w:spacing w:val="-2"/>
                <w:lang w:val="ro-RO"/>
              </w:rPr>
              <w:t>proiect</w:t>
            </w:r>
          </w:p>
        </w:tc>
        <w:tc>
          <w:tcPr>
            <w:tcW w:w="4760" w:type="dxa"/>
          </w:tcPr>
          <w:p w14:paraId="59ED7734" w14:textId="77777777" w:rsidR="00E77FF4" w:rsidRPr="00E77FF4" w:rsidRDefault="00E77FF4" w:rsidP="00E77FF4">
            <w:pPr>
              <w:widowControl w:val="0"/>
              <w:jc w:val="both"/>
              <w:rPr>
                <w:rFonts w:ascii="Times New Roman" w:hAnsi="Times New Roman" w:cs="Times New Roman"/>
                <w:b/>
                <w:lang w:val="ro-RO"/>
              </w:rPr>
            </w:pPr>
            <w:r w:rsidRPr="00E77FF4">
              <w:rPr>
                <w:rFonts w:ascii="Times New Roman" w:hAnsi="Times New Roman" w:cs="Times New Roman"/>
                <w:lang w:val="ro-RO"/>
              </w:rPr>
              <w:t>65.28%</w:t>
            </w:r>
            <w:r w:rsidRPr="00E77FF4">
              <w:rPr>
                <w:rFonts w:ascii="Times New Roman" w:hAnsi="Times New Roman" w:cs="Times New Roman"/>
                <w:lang w:val="ro-RO"/>
              </w:rPr>
              <w:tab/>
            </w:r>
            <w:r w:rsidRPr="00E77FF4">
              <w:rPr>
                <w:rFonts w:ascii="Times New Roman" w:hAnsi="Times New Roman" w:cs="Times New Roman"/>
                <w:lang w:val="ro-RO"/>
              </w:rPr>
              <w:tab/>
            </w:r>
            <w:r w:rsidRPr="00E77FF4">
              <w:rPr>
                <w:rFonts w:ascii="Times New Roman" w:hAnsi="Times New Roman" w:cs="Times New Roman"/>
                <w:lang w:val="ro-RO"/>
              </w:rPr>
              <w:tab/>
            </w:r>
            <w:r w:rsidRPr="00E77FF4">
              <w:rPr>
                <w:rFonts w:ascii="Times New Roman" w:hAnsi="Times New Roman" w:cs="Times New Roman"/>
                <w:lang w:val="ro-RO"/>
              </w:rPr>
              <w:tab/>
            </w:r>
            <w:r w:rsidRPr="00E77FF4">
              <w:rPr>
                <w:rFonts w:ascii="Times New Roman" w:hAnsi="Times New Roman" w:cs="Times New Roman"/>
                <w:lang w:val="ro-RO"/>
              </w:rPr>
              <w:tab/>
            </w:r>
          </w:p>
        </w:tc>
      </w:tr>
      <w:tr w:rsidR="00E77FF4" w:rsidRPr="00E77FF4" w14:paraId="509F001D" w14:textId="77777777" w:rsidTr="004A7E91">
        <w:tc>
          <w:tcPr>
            <w:tcW w:w="4761" w:type="dxa"/>
          </w:tcPr>
          <w:p w14:paraId="3B9DA8F2" w14:textId="77777777" w:rsidR="00E77FF4" w:rsidRPr="00E77FF4" w:rsidRDefault="00E77FF4" w:rsidP="00E77FF4">
            <w:pPr>
              <w:widowControl w:val="0"/>
              <w:jc w:val="both"/>
              <w:rPr>
                <w:rFonts w:ascii="Times New Roman" w:hAnsi="Times New Roman" w:cs="Times New Roman"/>
                <w:b/>
                <w:lang w:val="ro-RO"/>
              </w:rPr>
            </w:pPr>
            <w:r w:rsidRPr="00E77FF4">
              <w:rPr>
                <w:rFonts w:ascii="Times New Roman" w:hAnsi="Times New Roman" w:cs="Times New Roman"/>
                <w:b/>
                <w:lang w:val="ro-RO"/>
              </w:rPr>
              <w:t>Progres</w:t>
            </w:r>
            <w:r w:rsidRPr="00E77FF4">
              <w:rPr>
                <w:rFonts w:ascii="Times New Roman" w:hAnsi="Times New Roman" w:cs="Times New Roman"/>
                <w:b/>
                <w:spacing w:val="-5"/>
                <w:lang w:val="ro-RO"/>
              </w:rPr>
              <w:t xml:space="preserve"> </w:t>
            </w:r>
            <w:r w:rsidRPr="00E77FF4">
              <w:rPr>
                <w:rFonts w:ascii="Times New Roman" w:hAnsi="Times New Roman" w:cs="Times New Roman"/>
                <w:b/>
                <w:lang w:val="ro-RO"/>
              </w:rPr>
              <w:t xml:space="preserve">financiar </w:t>
            </w:r>
            <w:r w:rsidRPr="00E77FF4">
              <w:rPr>
                <w:rFonts w:ascii="Times New Roman" w:hAnsi="Times New Roman" w:cs="Times New Roman"/>
                <w:b/>
                <w:spacing w:val="-2"/>
                <w:lang w:val="ro-RO"/>
              </w:rPr>
              <w:t>proiect</w:t>
            </w:r>
          </w:p>
        </w:tc>
        <w:tc>
          <w:tcPr>
            <w:tcW w:w="4760" w:type="dxa"/>
          </w:tcPr>
          <w:p w14:paraId="2A671BB7" w14:textId="77777777" w:rsidR="00E77FF4" w:rsidRPr="00E77FF4" w:rsidRDefault="00E77FF4" w:rsidP="00E77FF4">
            <w:pPr>
              <w:widowControl w:val="0"/>
              <w:jc w:val="both"/>
              <w:rPr>
                <w:rFonts w:ascii="Times New Roman" w:hAnsi="Times New Roman" w:cs="Times New Roman"/>
                <w:bCs/>
                <w:lang w:val="ro-RO"/>
              </w:rPr>
            </w:pPr>
            <w:r w:rsidRPr="00E77FF4">
              <w:rPr>
                <w:rFonts w:ascii="Times New Roman" w:hAnsi="Times New Roman" w:cs="Times New Roman"/>
                <w:bCs/>
                <w:lang w:val="ro-RO"/>
              </w:rPr>
              <w:t>49.06%</w:t>
            </w:r>
            <w:r w:rsidRPr="00E77FF4">
              <w:rPr>
                <w:rFonts w:ascii="Times New Roman" w:hAnsi="Times New Roman" w:cs="Times New Roman"/>
                <w:bCs/>
                <w:lang w:val="ro-RO"/>
              </w:rPr>
              <w:tab/>
            </w:r>
            <w:r w:rsidRPr="00E77FF4">
              <w:rPr>
                <w:rFonts w:ascii="Times New Roman" w:hAnsi="Times New Roman" w:cs="Times New Roman"/>
                <w:bCs/>
                <w:lang w:val="ro-RO"/>
              </w:rPr>
              <w:tab/>
            </w:r>
            <w:r w:rsidRPr="00E77FF4">
              <w:rPr>
                <w:rFonts w:ascii="Times New Roman" w:hAnsi="Times New Roman" w:cs="Times New Roman"/>
                <w:bCs/>
                <w:lang w:val="ro-RO"/>
              </w:rPr>
              <w:tab/>
            </w:r>
            <w:r w:rsidRPr="00E77FF4">
              <w:rPr>
                <w:rFonts w:ascii="Times New Roman" w:hAnsi="Times New Roman" w:cs="Times New Roman"/>
                <w:bCs/>
                <w:lang w:val="ro-RO"/>
              </w:rPr>
              <w:tab/>
            </w:r>
          </w:p>
        </w:tc>
      </w:tr>
    </w:tbl>
    <w:p w14:paraId="0DCEE90A" w14:textId="77777777" w:rsidR="00267516" w:rsidRDefault="00267516" w:rsidP="00E77FF4">
      <w:pPr>
        <w:widowControl w:val="0"/>
        <w:spacing w:after="0"/>
        <w:jc w:val="both"/>
        <w:rPr>
          <w:rFonts w:ascii="Times New Roman" w:hAnsi="Times New Roman" w:cs="Times New Roman"/>
          <w:b/>
          <w:bCs/>
          <w:lang w:val="ro-RO"/>
        </w:rPr>
      </w:pPr>
    </w:p>
    <w:p w14:paraId="5764D129" w14:textId="6613DC27" w:rsidR="00CD56D4" w:rsidRPr="00E77FF4" w:rsidRDefault="00CD56D4" w:rsidP="00E77FF4">
      <w:pPr>
        <w:widowControl w:val="0"/>
        <w:spacing w:after="0"/>
        <w:jc w:val="both"/>
        <w:rPr>
          <w:rFonts w:ascii="Times New Roman" w:hAnsi="Times New Roman" w:cs="Times New Roman"/>
          <w:b/>
          <w:bCs/>
          <w:lang w:val="ro-RO"/>
        </w:rPr>
      </w:pPr>
      <w:r w:rsidRPr="00CD56D4">
        <w:rPr>
          <w:rFonts w:ascii="Times New Roman" w:hAnsi="Times New Roman" w:cs="Times New Roman"/>
          <w:b/>
          <w:bCs/>
          <w:lang w:val="ro-RO"/>
        </w:rPr>
        <w:t>Structura de ﬁnantare proiect (FAZA II)</w:t>
      </w:r>
    </w:p>
    <w:p w14:paraId="752A1798" w14:textId="77777777" w:rsidR="00E77FF4" w:rsidRPr="00E77FF4" w:rsidRDefault="00E77FF4" w:rsidP="00E77FF4">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lang w:val="ro-RO"/>
        </w:rPr>
      </w:pPr>
      <w:r w:rsidRPr="00E77FF4">
        <w:rPr>
          <w:rFonts w:ascii="Times New Roman" w:hAnsi="Times New Roman" w:cs="Times New Roman"/>
          <w:lang w:val="ro-RO"/>
        </w:rPr>
        <w:t>Din valoarea totală a contractului de </w:t>
      </w:r>
      <w:r w:rsidRPr="00E77FF4">
        <w:rPr>
          <w:rFonts w:ascii="Times New Roman" w:hAnsi="Times New Roman" w:cs="Times New Roman"/>
          <w:b/>
          <w:bCs/>
          <w:lang w:val="ro-RO"/>
        </w:rPr>
        <w:t>1.531.107.601,62 lei</w:t>
      </w:r>
      <w:r w:rsidRPr="00E77FF4">
        <w:rPr>
          <w:rFonts w:ascii="Times New Roman" w:hAnsi="Times New Roman" w:cs="Times New Roman"/>
          <w:lang w:val="ro-RO"/>
        </w:rPr>
        <w:t>, </w:t>
      </w:r>
      <w:r w:rsidRPr="00E77FF4">
        <w:rPr>
          <w:rFonts w:ascii="Times New Roman" w:hAnsi="Times New Roman" w:cs="Times New Roman"/>
          <w:b/>
          <w:bCs/>
          <w:i/>
          <w:iCs/>
          <w:lang w:val="ro-RO"/>
        </w:rPr>
        <w:t>484.297.643,32 lei</w:t>
      </w:r>
      <w:r w:rsidRPr="00E77FF4">
        <w:rPr>
          <w:rFonts w:ascii="Times New Roman" w:hAnsi="Times New Roman" w:cs="Times New Roman"/>
          <w:lang w:val="ro-RO"/>
        </w:rPr>
        <w:t> reprezintă fonduri europene nerambursabile, </w:t>
      </w:r>
      <w:r w:rsidRPr="00E77FF4">
        <w:rPr>
          <w:rFonts w:ascii="Times New Roman" w:hAnsi="Times New Roman" w:cs="Times New Roman"/>
          <w:b/>
          <w:bCs/>
          <w:i/>
          <w:iCs/>
          <w:lang w:val="ro-RO"/>
        </w:rPr>
        <w:t>702.231.582,85 lei</w:t>
      </w:r>
      <w:r w:rsidRPr="00E77FF4">
        <w:rPr>
          <w:rFonts w:ascii="Times New Roman" w:hAnsi="Times New Roman" w:cs="Times New Roman"/>
          <w:lang w:val="ro-RO"/>
        </w:rPr>
        <w:t> buget național și </w:t>
      </w:r>
      <w:r w:rsidRPr="00E77FF4">
        <w:rPr>
          <w:rFonts w:ascii="Times New Roman" w:hAnsi="Times New Roman" w:cs="Times New Roman"/>
          <w:b/>
          <w:bCs/>
          <w:i/>
          <w:iCs/>
          <w:lang w:val="ro-RO"/>
        </w:rPr>
        <w:t>24.214.882,14 lei</w:t>
      </w:r>
      <w:r w:rsidRPr="00E77FF4">
        <w:rPr>
          <w:rFonts w:ascii="Times New Roman" w:hAnsi="Times New Roman" w:cs="Times New Roman"/>
          <w:lang w:val="ro-RO"/>
        </w:rPr>
        <w:t> cofinanțare beneficiar. AM acordă o finanțare nerambursabilă în valoare de </w:t>
      </w:r>
      <w:r w:rsidRPr="00E77FF4">
        <w:rPr>
          <w:rFonts w:ascii="Times New Roman" w:hAnsi="Times New Roman" w:cs="Times New Roman"/>
          <w:b/>
          <w:bCs/>
          <w:i/>
          <w:iCs/>
          <w:lang w:val="ro-RO"/>
        </w:rPr>
        <w:t>1.186.529.226,17 lei</w:t>
      </w:r>
      <w:r w:rsidRPr="00E77FF4">
        <w:rPr>
          <w:rFonts w:ascii="Times New Roman" w:hAnsi="Times New Roman" w:cs="Times New Roman"/>
          <w:lang w:val="ro-RO"/>
        </w:rPr>
        <w:t> echivalentă cu 92,12% din valoarea totală eligibilă aprobată.</w:t>
      </w:r>
    </w:p>
    <w:p w14:paraId="2DEC5E3C" w14:textId="77777777" w:rsidR="00CB7B38" w:rsidRPr="00E77FF4" w:rsidRDefault="00CB7B38" w:rsidP="00C82A85">
      <w:pPr>
        <w:widowControl w:val="0"/>
        <w:spacing w:after="0"/>
        <w:jc w:val="both"/>
        <w:rPr>
          <w:rFonts w:ascii="Times New Roman" w:hAnsi="Times New Roman" w:cs="Times New Roman"/>
          <w:b/>
          <w:bCs/>
          <w:lang w:val="ro-RO"/>
        </w:rPr>
      </w:pPr>
    </w:p>
    <w:p w14:paraId="2BB6F8C6" w14:textId="77777777" w:rsidR="00CB7B38" w:rsidRPr="00E77FF4" w:rsidRDefault="00CB7B38" w:rsidP="00C82A85">
      <w:pPr>
        <w:widowControl w:val="0"/>
        <w:spacing w:after="0"/>
        <w:jc w:val="both"/>
        <w:rPr>
          <w:rFonts w:ascii="Times New Roman" w:hAnsi="Times New Roman" w:cs="Times New Roman"/>
          <w:b/>
          <w:bCs/>
          <w:lang w:val="ro-RO"/>
        </w:rPr>
      </w:pPr>
    </w:p>
    <w:p w14:paraId="539C866A" w14:textId="77777777" w:rsidR="003414F6" w:rsidRPr="00E77FF4" w:rsidRDefault="003414F6" w:rsidP="00C82A85">
      <w:pPr>
        <w:widowControl w:val="0"/>
        <w:spacing w:after="0"/>
        <w:jc w:val="both"/>
        <w:rPr>
          <w:rFonts w:ascii="Times New Roman" w:hAnsi="Times New Roman" w:cs="Times New Roman"/>
          <w:b/>
          <w:bCs/>
          <w:lang w:val="ro-RO"/>
        </w:rPr>
      </w:pPr>
    </w:p>
    <w:sectPr w:rsidR="003414F6" w:rsidRPr="00E77FF4" w:rsidSect="00D33A34">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86ADB" w14:textId="77777777" w:rsidR="00F76E93" w:rsidRDefault="00F76E93" w:rsidP="00CF6D0E">
      <w:pPr>
        <w:spacing w:after="0" w:line="240" w:lineRule="auto"/>
      </w:pPr>
      <w:r>
        <w:separator/>
      </w:r>
    </w:p>
  </w:endnote>
  <w:endnote w:type="continuationSeparator" w:id="0">
    <w:p w14:paraId="2E6A3FF1" w14:textId="77777777" w:rsidR="00F76E93" w:rsidRDefault="00F76E93" w:rsidP="00CF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71B5E" w14:textId="77777777" w:rsidR="00F76E93" w:rsidRDefault="00F76E93" w:rsidP="00CF6D0E">
      <w:pPr>
        <w:spacing w:after="0" w:line="240" w:lineRule="auto"/>
      </w:pPr>
      <w:r>
        <w:separator/>
      </w:r>
    </w:p>
  </w:footnote>
  <w:footnote w:type="continuationSeparator" w:id="0">
    <w:p w14:paraId="6C0190F4" w14:textId="77777777" w:rsidR="00F76E93" w:rsidRDefault="00F76E93" w:rsidP="00CF6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5D8"/>
    <w:multiLevelType w:val="multilevel"/>
    <w:tmpl w:val="7EFE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D0109"/>
    <w:multiLevelType w:val="multilevel"/>
    <w:tmpl w:val="C1E4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83612"/>
    <w:multiLevelType w:val="multilevel"/>
    <w:tmpl w:val="3A14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562C4"/>
    <w:multiLevelType w:val="hybridMultilevel"/>
    <w:tmpl w:val="8F88CBFA"/>
    <w:lvl w:ilvl="0" w:tplc="66FA0254">
      <w:start w:val="1"/>
      <w:numFmt w:val="decimal"/>
      <w:lvlText w:val="%1."/>
      <w:lvlJc w:val="left"/>
      <w:pPr>
        <w:ind w:left="720" w:hanging="360"/>
      </w:pPr>
      <w:rPr>
        <w:rFonts w:ascii="Times New Roman" w:hAnsi="Times New Roman" w:hint="default"/>
        <w:b/>
        <w:i w:val="0"/>
        <w:caps w:val="0"/>
        <w:strike w:val="0"/>
        <w:dstrike w:val="0"/>
        <w:vanish w:val="0"/>
        <w:color w:val="000000" w:themeColor="text1"/>
        <w:spacing w:val="-20"/>
        <w:kern w:val="0"/>
        <w:position w:val="0"/>
        <w:sz w:val="24"/>
        <w:u w:val="none"/>
        <w:vertAlign w:val="baseline"/>
        <w14:numForm w14:val="default"/>
        <w14:numSpacing w14:val="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3089A"/>
    <w:multiLevelType w:val="multilevel"/>
    <w:tmpl w:val="4592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BB71BB"/>
    <w:multiLevelType w:val="multilevel"/>
    <w:tmpl w:val="E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0A6453"/>
    <w:multiLevelType w:val="hybridMultilevel"/>
    <w:tmpl w:val="2A62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C614E2"/>
    <w:multiLevelType w:val="hybridMultilevel"/>
    <w:tmpl w:val="9710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567354">
    <w:abstractNumId w:val="1"/>
  </w:num>
  <w:num w:numId="2" w16cid:durableId="1234706658">
    <w:abstractNumId w:val="0"/>
  </w:num>
  <w:num w:numId="3" w16cid:durableId="1089739484">
    <w:abstractNumId w:val="4"/>
  </w:num>
  <w:num w:numId="4" w16cid:durableId="1313365752">
    <w:abstractNumId w:val="2"/>
  </w:num>
  <w:num w:numId="5" w16cid:durableId="1556047343">
    <w:abstractNumId w:val="5"/>
  </w:num>
  <w:num w:numId="6" w16cid:durableId="317154745">
    <w:abstractNumId w:val="3"/>
  </w:num>
  <w:num w:numId="7" w16cid:durableId="946043928">
    <w:abstractNumId w:val="7"/>
  </w:num>
  <w:num w:numId="8" w16cid:durableId="1287928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11"/>
    <w:rsid w:val="000C4FA3"/>
    <w:rsid w:val="000E2D66"/>
    <w:rsid w:val="00267516"/>
    <w:rsid w:val="003414F6"/>
    <w:rsid w:val="00387A41"/>
    <w:rsid w:val="003E4727"/>
    <w:rsid w:val="004157D1"/>
    <w:rsid w:val="00443E36"/>
    <w:rsid w:val="00477205"/>
    <w:rsid w:val="004D0C11"/>
    <w:rsid w:val="00666060"/>
    <w:rsid w:val="006812F6"/>
    <w:rsid w:val="006D6033"/>
    <w:rsid w:val="00744A9E"/>
    <w:rsid w:val="00794B0A"/>
    <w:rsid w:val="00912CB0"/>
    <w:rsid w:val="009147A3"/>
    <w:rsid w:val="009402D4"/>
    <w:rsid w:val="00A73D7D"/>
    <w:rsid w:val="00B00D03"/>
    <w:rsid w:val="00B50478"/>
    <w:rsid w:val="00B84E6C"/>
    <w:rsid w:val="00C82A85"/>
    <w:rsid w:val="00CB7B38"/>
    <w:rsid w:val="00CD56D4"/>
    <w:rsid w:val="00CF6D0E"/>
    <w:rsid w:val="00D33A34"/>
    <w:rsid w:val="00D678A4"/>
    <w:rsid w:val="00D94355"/>
    <w:rsid w:val="00E2332D"/>
    <w:rsid w:val="00E77FF4"/>
    <w:rsid w:val="00EC33F5"/>
    <w:rsid w:val="00F427C1"/>
    <w:rsid w:val="00F76E93"/>
    <w:rsid w:val="00FB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43EE"/>
  <w15:chartTrackingRefBased/>
  <w15:docId w15:val="{B069CE46-7059-49B8-AE2D-B0127213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D03"/>
  </w:style>
  <w:style w:type="paragraph" w:styleId="Heading1">
    <w:name w:val="heading 1"/>
    <w:basedOn w:val="Normal"/>
    <w:next w:val="Normal"/>
    <w:link w:val="Heading1Char"/>
    <w:uiPriority w:val="9"/>
    <w:qFormat/>
    <w:rsid w:val="004D0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0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0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C11"/>
    <w:rPr>
      <w:rFonts w:eastAsiaTheme="majorEastAsia" w:cstheme="majorBidi"/>
      <w:color w:val="272727" w:themeColor="text1" w:themeTint="D8"/>
    </w:rPr>
  </w:style>
  <w:style w:type="paragraph" w:styleId="Title">
    <w:name w:val="Title"/>
    <w:basedOn w:val="Normal"/>
    <w:next w:val="Normal"/>
    <w:link w:val="TitleChar"/>
    <w:uiPriority w:val="10"/>
    <w:qFormat/>
    <w:rsid w:val="004D0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C11"/>
    <w:pPr>
      <w:spacing w:before="160"/>
      <w:jc w:val="center"/>
    </w:pPr>
    <w:rPr>
      <w:i/>
      <w:iCs/>
      <w:color w:val="404040" w:themeColor="text1" w:themeTint="BF"/>
    </w:rPr>
  </w:style>
  <w:style w:type="character" w:customStyle="1" w:styleId="QuoteChar">
    <w:name w:val="Quote Char"/>
    <w:basedOn w:val="DefaultParagraphFont"/>
    <w:link w:val="Quote"/>
    <w:uiPriority w:val="29"/>
    <w:rsid w:val="004D0C11"/>
    <w:rPr>
      <w:i/>
      <w:iCs/>
      <w:color w:val="404040" w:themeColor="text1" w:themeTint="BF"/>
    </w:rPr>
  </w:style>
  <w:style w:type="paragraph" w:styleId="ListParagraph">
    <w:name w:val="List Paragraph"/>
    <w:basedOn w:val="Normal"/>
    <w:uiPriority w:val="34"/>
    <w:qFormat/>
    <w:rsid w:val="004D0C11"/>
    <w:pPr>
      <w:ind w:left="720"/>
      <w:contextualSpacing/>
    </w:pPr>
  </w:style>
  <w:style w:type="character" w:styleId="IntenseEmphasis">
    <w:name w:val="Intense Emphasis"/>
    <w:basedOn w:val="DefaultParagraphFont"/>
    <w:uiPriority w:val="21"/>
    <w:qFormat/>
    <w:rsid w:val="004D0C11"/>
    <w:rPr>
      <w:i/>
      <w:iCs/>
      <w:color w:val="0F4761" w:themeColor="accent1" w:themeShade="BF"/>
    </w:rPr>
  </w:style>
  <w:style w:type="paragraph" w:styleId="IntenseQuote">
    <w:name w:val="Intense Quote"/>
    <w:basedOn w:val="Normal"/>
    <w:next w:val="Normal"/>
    <w:link w:val="IntenseQuoteChar"/>
    <w:uiPriority w:val="30"/>
    <w:qFormat/>
    <w:rsid w:val="004D0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C11"/>
    <w:rPr>
      <w:i/>
      <w:iCs/>
      <w:color w:val="0F4761" w:themeColor="accent1" w:themeShade="BF"/>
    </w:rPr>
  </w:style>
  <w:style w:type="character" w:styleId="IntenseReference">
    <w:name w:val="Intense Reference"/>
    <w:basedOn w:val="DefaultParagraphFont"/>
    <w:uiPriority w:val="32"/>
    <w:qFormat/>
    <w:rsid w:val="004D0C11"/>
    <w:rPr>
      <w:b/>
      <w:bCs/>
      <w:smallCaps/>
      <w:color w:val="0F4761" w:themeColor="accent1" w:themeShade="BF"/>
      <w:spacing w:val="5"/>
    </w:rPr>
  </w:style>
  <w:style w:type="character" w:styleId="Hyperlink">
    <w:name w:val="Hyperlink"/>
    <w:basedOn w:val="DefaultParagraphFont"/>
    <w:uiPriority w:val="99"/>
    <w:unhideWhenUsed/>
    <w:rsid w:val="00D33A34"/>
    <w:rPr>
      <w:color w:val="467886" w:themeColor="hyperlink"/>
      <w:u w:val="single"/>
    </w:rPr>
  </w:style>
  <w:style w:type="character" w:styleId="UnresolvedMention">
    <w:name w:val="Unresolved Mention"/>
    <w:basedOn w:val="DefaultParagraphFont"/>
    <w:uiPriority w:val="99"/>
    <w:semiHidden/>
    <w:unhideWhenUsed/>
    <w:rsid w:val="00D33A34"/>
    <w:rPr>
      <w:color w:val="605E5C"/>
      <w:shd w:val="clear" w:color="auto" w:fill="E1DFDD"/>
    </w:rPr>
  </w:style>
  <w:style w:type="paragraph" w:styleId="BodyText">
    <w:name w:val="Body Text"/>
    <w:basedOn w:val="Normal"/>
    <w:link w:val="BodyTextChar"/>
    <w:uiPriority w:val="1"/>
    <w:qFormat/>
    <w:rsid w:val="00CB7B38"/>
    <w:pPr>
      <w:widowControl w:val="0"/>
      <w:autoSpaceDE w:val="0"/>
      <w:autoSpaceDN w:val="0"/>
      <w:spacing w:after="0" w:line="240" w:lineRule="auto"/>
      <w:ind w:left="20"/>
    </w:pPr>
    <w:rPr>
      <w:rFonts w:ascii="Calibri" w:eastAsia="Calibri" w:hAnsi="Calibri" w:cs="Calibri"/>
      <w:kern w:val="0"/>
      <w:sz w:val="22"/>
      <w:szCs w:val="22"/>
      <w:lang w:val="ro-RO"/>
      <w14:ligatures w14:val="none"/>
    </w:rPr>
  </w:style>
  <w:style w:type="character" w:customStyle="1" w:styleId="BodyTextChar">
    <w:name w:val="Body Text Char"/>
    <w:basedOn w:val="DefaultParagraphFont"/>
    <w:link w:val="BodyText"/>
    <w:uiPriority w:val="1"/>
    <w:rsid w:val="00CB7B38"/>
    <w:rPr>
      <w:rFonts w:ascii="Calibri" w:eastAsia="Calibri" w:hAnsi="Calibri" w:cs="Calibri"/>
      <w:kern w:val="0"/>
      <w:sz w:val="22"/>
      <w:szCs w:val="22"/>
      <w:lang w:val="ro-RO"/>
      <w14:ligatures w14:val="none"/>
    </w:rPr>
  </w:style>
  <w:style w:type="table" w:styleId="TableGrid">
    <w:name w:val="Table Grid"/>
    <w:basedOn w:val="TableNormal"/>
    <w:uiPriority w:val="39"/>
    <w:rsid w:val="00267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6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D0E"/>
  </w:style>
  <w:style w:type="paragraph" w:styleId="Footer">
    <w:name w:val="footer"/>
    <w:basedOn w:val="Normal"/>
    <w:link w:val="FooterChar"/>
    <w:uiPriority w:val="99"/>
    <w:unhideWhenUsed/>
    <w:rsid w:val="00CF6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337</TotalTime>
  <Pages>5</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Pintea</dc:creator>
  <cp:keywords/>
  <dc:description/>
  <cp:lastModifiedBy>Iulia Pintea</cp:lastModifiedBy>
  <cp:revision>4</cp:revision>
  <dcterms:created xsi:type="dcterms:W3CDTF">2025-09-02T06:06:00Z</dcterms:created>
  <dcterms:modified xsi:type="dcterms:W3CDTF">2025-09-03T09:39:00Z</dcterms:modified>
</cp:coreProperties>
</file>